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556D" w14:textId="669CC8D5" w:rsidR="009F4658" w:rsidRPr="00116559" w:rsidRDefault="009F4658" w:rsidP="00C67C90">
      <w:pPr>
        <w:jc w:val="center"/>
        <w:rPr>
          <w:rFonts w:cstheme="minorHAnsi"/>
          <w:b/>
        </w:rPr>
      </w:pPr>
      <w:r w:rsidRPr="00116559">
        <w:rPr>
          <w:rFonts w:cstheme="minorHAnsi"/>
          <w:b/>
        </w:rPr>
        <w:t xml:space="preserve">Amendments to the </w:t>
      </w:r>
      <w:r w:rsidR="003671F4" w:rsidRPr="00116559">
        <w:rPr>
          <w:rFonts w:cstheme="minorHAnsi"/>
          <w:b/>
        </w:rPr>
        <w:t>JSE</w:t>
      </w:r>
      <w:r w:rsidR="00486E62" w:rsidRPr="00116559">
        <w:rPr>
          <w:rFonts w:cstheme="minorHAnsi"/>
          <w:b/>
        </w:rPr>
        <w:t xml:space="preserve"> Debt</w:t>
      </w:r>
      <w:r w:rsidR="003671F4" w:rsidRPr="00116559">
        <w:rPr>
          <w:rFonts w:cstheme="minorHAnsi"/>
          <w:b/>
        </w:rPr>
        <w:t xml:space="preserve"> </w:t>
      </w:r>
      <w:r w:rsidRPr="00116559">
        <w:rPr>
          <w:rFonts w:cstheme="minorHAnsi"/>
          <w:b/>
        </w:rPr>
        <w:t>Listings Requirements</w:t>
      </w:r>
      <w:r w:rsidR="00B2136F" w:rsidRPr="00116559">
        <w:rPr>
          <w:rFonts w:cstheme="minorHAnsi"/>
          <w:b/>
        </w:rPr>
        <w:t xml:space="preserve"> (the “</w:t>
      </w:r>
      <w:r w:rsidR="00486E62" w:rsidRPr="00116559">
        <w:rPr>
          <w:rFonts w:cstheme="minorHAnsi"/>
          <w:b/>
        </w:rPr>
        <w:t xml:space="preserve">Debt </w:t>
      </w:r>
      <w:r w:rsidR="00B2136F" w:rsidRPr="00116559">
        <w:rPr>
          <w:rFonts w:cstheme="minorHAnsi"/>
          <w:b/>
        </w:rPr>
        <w:t>Requirements”)</w:t>
      </w:r>
    </w:p>
    <w:p w14:paraId="6654E616" w14:textId="3425B779" w:rsidR="00486E62" w:rsidRPr="00116559" w:rsidRDefault="00BB461F" w:rsidP="006A4A43">
      <w:pPr>
        <w:pBdr>
          <w:bottom w:val="single" w:sz="12" w:space="1" w:color="auto"/>
        </w:pBdr>
        <w:jc w:val="center"/>
        <w:rPr>
          <w:rFonts w:cstheme="minorHAnsi"/>
          <w:b/>
        </w:rPr>
      </w:pPr>
      <w:r w:rsidRPr="00116559">
        <w:rPr>
          <w:rFonts w:cstheme="minorHAnsi"/>
          <w:b/>
        </w:rPr>
        <w:t>Annual Improvement Project 2022</w:t>
      </w:r>
    </w:p>
    <w:p w14:paraId="697FD603" w14:textId="62F838D8" w:rsidR="006A4A43" w:rsidRPr="00116559" w:rsidRDefault="00765E90" w:rsidP="006A4A43">
      <w:pPr>
        <w:pBdr>
          <w:bottom w:val="single" w:sz="12" w:space="1" w:color="auto"/>
        </w:pBdr>
        <w:jc w:val="center"/>
        <w:rPr>
          <w:rFonts w:cstheme="minorHAnsi"/>
          <w:b/>
        </w:rPr>
      </w:pPr>
      <w:r w:rsidRPr="00116559">
        <w:rPr>
          <w:rFonts w:cstheme="minorHAnsi"/>
          <w:b/>
        </w:rPr>
        <w:t>October</w:t>
      </w:r>
      <w:r w:rsidR="00421417" w:rsidRPr="00116559">
        <w:rPr>
          <w:rFonts w:cstheme="minorHAnsi"/>
          <w:b/>
        </w:rPr>
        <w:t xml:space="preserve"> </w:t>
      </w:r>
      <w:r w:rsidR="002275A1" w:rsidRPr="00116559">
        <w:rPr>
          <w:rFonts w:cstheme="minorHAnsi"/>
          <w:b/>
        </w:rPr>
        <w:t>202</w:t>
      </w:r>
      <w:r w:rsidR="00486E62" w:rsidRPr="00116559">
        <w:rPr>
          <w:rFonts w:cstheme="minorHAnsi"/>
          <w:b/>
        </w:rPr>
        <w:t>2</w:t>
      </w:r>
      <w:r w:rsidR="006A4A43" w:rsidRPr="00116559">
        <w:rPr>
          <w:rFonts w:cstheme="minorHAnsi"/>
          <w:b/>
        </w:rPr>
        <w:t xml:space="preserve"> </w:t>
      </w:r>
    </w:p>
    <w:p w14:paraId="68422AC5" w14:textId="77777777" w:rsidR="00DB1B66" w:rsidRPr="00116559" w:rsidRDefault="00DB1B66" w:rsidP="00C67C90">
      <w:pPr>
        <w:pBdr>
          <w:bottom w:val="single" w:sz="12" w:space="1" w:color="auto"/>
        </w:pBdr>
        <w:jc w:val="both"/>
        <w:rPr>
          <w:rFonts w:cstheme="minorHAnsi"/>
          <w:b/>
        </w:rPr>
      </w:pPr>
    </w:p>
    <w:tbl>
      <w:tblPr>
        <w:tblStyle w:val="TableGrid"/>
        <w:tblW w:w="0" w:type="auto"/>
        <w:tblLook w:val="04A0" w:firstRow="1" w:lastRow="0" w:firstColumn="1" w:lastColumn="0" w:noHBand="0" w:noVBand="1"/>
      </w:tblPr>
      <w:tblGrid>
        <w:gridCol w:w="12950"/>
      </w:tblGrid>
      <w:tr w:rsidR="00E37471" w:rsidRPr="00116559" w14:paraId="3DFADBE8" w14:textId="77777777" w:rsidTr="00510960">
        <w:tc>
          <w:tcPr>
            <w:tcW w:w="12950" w:type="dxa"/>
            <w:shd w:val="clear" w:color="auto" w:fill="BFBFBF" w:themeFill="background1" w:themeFillShade="BF"/>
          </w:tcPr>
          <w:p w14:paraId="4A97D608" w14:textId="5E5ABEFF" w:rsidR="00E37471" w:rsidRPr="00116559" w:rsidRDefault="00E37471" w:rsidP="0031019D">
            <w:pPr>
              <w:jc w:val="both"/>
              <w:rPr>
                <w:rFonts w:cstheme="minorHAnsi"/>
                <w:b/>
                <w:lang w:val="en-ZA"/>
              </w:rPr>
            </w:pPr>
            <w:r w:rsidRPr="00116559">
              <w:rPr>
                <w:rFonts w:cstheme="minorHAnsi"/>
                <w:b/>
                <w:lang w:val="en-ZA"/>
              </w:rPr>
              <w:t xml:space="preserve">The Annual Improvement Project mainly aims to propose amendments to the Debt Requirements, where the JSE has determined that (i) certain provisions in the </w:t>
            </w:r>
            <w:r w:rsidR="001B177B" w:rsidRPr="00116559">
              <w:rPr>
                <w:rFonts w:cstheme="minorHAnsi"/>
                <w:b/>
                <w:lang w:val="en-ZA"/>
              </w:rPr>
              <w:t xml:space="preserve">Debt </w:t>
            </w:r>
            <w:r w:rsidRPr="00116559">
              <w:rPr>
                <w:rFonts w:cstheme="minorHAnsi"/>
                <w:b/>
                <w:lang w:val="en-ZA"/>
              </w:rPr>
              <w:t xml:space="preserve">Requirements require more clarity/context and/or (ii) there is ambiguity in the interpretation which needs to be remedied. New proposed amendments to the </w:t>
            </w:r>
            <w:r w:rsidR="001B177B" w:rsidRPr="00116559">
              <w:rPr>
                <w:rFonts w:cstheme="minorHAnsi"/>
                <w:b/>
                <w:lang w:val="en-ZA"/>
              </w:rPr>
              <w:t xml:space="preserve">Debt </w:t>
            </w:r>
            <w:r w:rsidRPr="00116559">
              <w:rPr>
                <w:rFonts w:cstheme="minorHAnsi"/>
                <w:b/>
                <w:lang w:val="en-ZA"/>
              </w:rPr>
              <w:t>Requirements are intentionally limited.</w:t>
            </w:r>
          </w:p>
        </w:tc>
      </w:tr>
    </w:tbl>
    <w:p w14:paraId="4D6FC72B" w14:textId="77777777" w:rsidR="00503B86" w:rsidRPr="00116559" w:rsidRDefault="00503B86" w:rsidP="00C67C90">
      <w:pPr>
        <w:jc w:val="both"/>
        <w:rPr>
          <w:rFonts w:cstheme="minorHAnsi"/>
          <w:b/>
          <w:lang w:val="en-ZA"/>
        </w:rPr>
      </w:pPr>
    </w:p>
    <w:tbl>
      <w:tblPr>
        <w:tblStyle w:val="TableGrid"/>
        <w:tblW w:w="12616" w:type="dxa"/>
        <w:tblInd w:w="-5" w:type="dxa"/>
        <w:tblLook w:val="04A0" w:firstRow="1" w:lastRow="0" w:firstColumn="1" w:lastColumn="0" w:noHBand="0" w:noVBand="1"/>
      </w:tblPr>
      <w:tblGrid>
        <w:gridCol w:w="851"/>
        <w:gridCol w:w="1701"/>
        <w:gridCol w:w="4394"/>
        <w:gridCol w:w="5670"/>
      </w:tblGrid>
      <w:tr w:rsidR="00B36AFB" w:rsidRPr="00116559" w14:paraId="2E407B35" w14:textId="77777777" w:rsidTr="00722A95">
        <w:tc>
          <w:tcPr>
            <w:tcW w:w="851" w:type="dxa"/>
            <w:shd w:val="clear" w:color="auto" w:fill="BFBFBF" w:themeFill="background1" w:themeFillShade="BF"/>
          </w:tcPr>
          <w:p w14:paraId="4A3F7B54" w14:textId="52E41451" w:rsidR="00B36AFB" w:rsidRPr="00116559" w:rsidRDefault="00B36AFB" w:rsidP="00C67C90">
            <w:pPr>
              <w:jc w:val="both"/>
              <w:rPr>
                <w:rFonts w:cstheme="minorHAnsi"/>
                <w:b/>
              </w:rPr>
            </w:pPr>
            <w:r w:rsidRPr="00116559">
              <w:rPr>
                <w:rFonts w:cstheme="minorHAnsi"/>
                <w:b/>
              </w:rPr>
              <w:t xml:space="preserve">Nr. </w:t>
            </w:r>
          </w:p>
        </w:tc>
        <w:tc>
          <w:tcPr>
            <w:tcW w:w="1701" w:type="dxa"/>
            <w:shd w:val="clear" w:color="auto" w:fill="BFBFBF" w:themeFill="background1" w:themeFillShade="BF"/>
          </w:tcPr>
          <w:p w14:paraId="1BDC886D" w14:textId="107DEED1" w:rsidR="00B36AFB" w:rsidRPr="00116559" w:rsidRDefault="00B36AFB" w:rsidP="00C67C90">
            <w:pPr>
              <w:jc w:val="both"/>
              <w:rPr>
                <w:rFonts w:cstheme="minorHAnsi"/>
                <w:b/>
              </w:rPr>
            </w:pPr>
            <w:r w:rsidRPr="00116559">
              <w:rPr>
                <w:rFonts w:cstheme="minorHAnsi"/>
                <w:b/>
              </w:rPr>
              <w:t>Section</w:t>
            </w:r>
          </w:p>
        </w:tc>
        <w:tc>
          <w:tcPr>
            <w:tcW w:w="4394" w:type="dxa"/>
            <w:shd w:val="clear" w:color="auto" w:fill="BFBFBF" w:themeFill="background1" w:themeFillShade="BF"/>
          </w:tcPr>
          <w:p w14:paraId="766A88D3" w14:textId="77777777" w:rsidR="00B36AFB" w:rsidRPr="00116559" w:rsidRDefault="00B36AFB" w:rsidP="00C67C90">
            <w:pPr>
              <w:jc w:val="both"/>
              <w:rPr>
                <w:rFonts w:cstheme="minorHAnsi"/>
                <w:b/>
              </w:rPr>
            </w:pPr>
            <w:r w:rsidRPr="00116559">
              <w:rPr>
                <w:rFonts w:cstheme="minorHAnsi"/>
                <w:b/>
              </w:rPr>
              <w:t>Proposed Amendment</w:t>
            </w:r>
          </w:p>
        </w:tc>
        <w:tc>
          <w:tcPr>
            <w:tcW w:w="5670" w:type="dxa"/>
            <w:shd w:val="clear" w:color="auto" w:fill="BFBFBF" w:themeFill="background1" w:themeFillShade="BF"/>
          </w:tcPr>
          <w:p w14:paraId="700FEE93" w14:textId="52E2A72A" w:rsidR="00B36AFB" w:rsidRPr="00116559" w:rsidRDefault="00B36AFB" w:rsidP="00C67C90">
            <w:pPr>
              <w:jc w:val="both"/>
              <w:rPr>
                <w:rFonts w:cstheme="minorHAnsi"/>
                <w:b/>
              </w:rPr>
            </w:pPr>
            <w:r w:rsidRPr="00116559">
              <w:rPr>
                <w:rFonts w:cstheme="minorHAnsi"/>
                <w:b/>
              </w:rPr>
              <w:t>Nature of amendment and rationale</w:t>
            </w:r>
          </w:p>
        </w:tc>
      </w:tr>
      <w:tr w:rsidR="00722A95" w:rsidRPr="00116559" w14:paraId="31238F44" w14:textId="77777777" w:rsidTr="00722A95">
        <w:tc>
          <w:tcPr>
            <w:tcW w:w="851" w:type="dxa"/>
            <w:shd w:val="clear" w:color="auto" w:fill="BFBFBF" w:themeFill="background1" w:themeFillShade="BF"/>
          </w:tcPr>
          <w:p w14:paraId="4BDD5186" w14:textId="77777777" w:rsidR="00722A95" w:rsidRPr="00116559" w:rsidRDefault="00722A95" w:rsidP="00C67C90">
            <w:pPr>
              <w:jc w:val="both"/>
              <w:rPr>
                <w:rFonts w:cstheme="minorHAnsi"/>
                <w:b/>
              </w:rPr>
            </w:pPr>
          </w:p>
        </w:tc>
        <w:tc>
          <w:tcPr>
            <w:tcW w:w="1701" w:type="dxa"/>
            <w:shd w:val="clear" w:color="auto" w:fill="BFBFBF" w:themeFill="background1" w:themeFillShade="BF"/>
          </w:tcPr>
          <w:p w14:paraId="048D681C" w14:textId="77777777" w:rsidR="00722A95" w:rsidRPr="00116559" w:rsidRDefault="00722A95" w:rsidP="00C67C90">
            <w:pPr>
              <w:jc w:val="both"/>
              <w:rPr>
                <w:rFonts w:cstheme="minorHAnsi"/>
                <w:b/>
              </w:rPr>
            </w:pPr>
          </w:p>
        </w:tc>
        <w:tc>
          <w:tcPr>
            <w:tcW w:w="4394" w:type="dxa"/>
            <w:shd w:val="clear" w:color="auto" w:fill="BFBFBF" w:themeFill="background1" w:themeFillShade="BF"/>
          </w:tcPr>
          <w:p w14:paraId="3FDFB943" w14:textId="77777777" w:rsidR="00722A95" w:rsidRPr="00116559" w:rsidRDefault="00722A95" w:rsidP="00C67C90">
            <w:pPr>
              <w:jc w:val="both"/>
              <w:rPr>
                <w:rFonts w:cstheme="minorHAnsi"/>
                <w:b/>
              </w:rPr>
            </w:pPr>
          </w:p>
        </w:tc>
        <w:tc>
          <w:tcPr>
            <w:tcW w:w="5670" w:type="dxa"/>
            <w:shd w:val="clear" w:color="auto" w:fill="BFBFBF" w:themeFill="background1" w:themeFillShade="BF"/>
          </w:tcPr>
          <w:p w14:paraId="04D316EF" w14:textId="77777777" w:rsidR="00722A95" w:rsidRPr="00116559" w:rsidRDefault="00722A95" w:rsidP="00C67C90">
            <w:pPr>
              <w:jc w:val="both"/>
              <w:rPr>
                <w:rFonts w:cstheme="minorHAnsi"/>
                <w:b/>
              </w:rPr>
            </w:pPr>
          </w:p>
        </w:tc>
      </w:tr>
      <w:tr w:rsidR="00B36AFB" w:rsidRPr="00116559" w14:paraId="1C0D5FCC" w14:textId="77777777" w:rsidTr="00722A95">
        <w:tc>
          <w:tcPr>
            <w:tcW w:w="851" w:type="dxa"/>
            <w:shd w:val="clear" w:color="auto" w:fill="FFFFFF" w:themeFill="background1"/>
          </w:tcPr>
          <w:p w14:paraId="0A8DB2EC" w14:textId="77777777" w:rsidR="00B36AFB" w:rsidRPr="00116559" w:rsidRDefault="00B36AFB" w:rsidP="00A454A2">
            <w:pPr>
              <w:jc w:val="both"/>
              <w:rPr>
                <w:rFonts w:cstheme="minorHAnsi"/>
              </w:rPr>
            </w:pPr>
          </w:p>
        </w:tc>
        <w:tc>
          <w:tcPr>
            <w:tcW w:w="1701" w:type="dxa"/>
            <w:shd w:val="clear" w:color="auto" w:fill="FFFFFF" w:themeFill="background1"/>
          </w:tcPr>
          <w:p w14:paraId="380D3DF1" w14:textId="686BCC68" w:rsidR="00B36AFB" w:rsidRPr="00116559" w:rsidRDefault="00B36AFB" w:rsidP="00A454A2">
            <w:pPr>
              <w:jc w:val="both"/>
              <w:rPr>
                <w:rFonts w:cstheme="minorHAnsi"/>
              </w:rPr>
            </w:pPr>
          </w:p>
        </w:tc>
        <w:tc>
          <w:tcPr>
            <w:tcW w:w="4394" w:type="dxa"/>
            <w:shd w:val="clear" w:color="auto" w:fill="FFFFFF" w:themeFill="background1"/>
          </w:tcPr>
          <w:p w14:paraId="6F0E2B2D" w14:textId="77777777" w:rsidR="00B36AFB" w:rsidRPr="00116559" w:rsidRDefault="00B36AFB" w:rsidP="00A454A2">
            <w:pPr>
              <w:jc w:val="both"/>
              <w:rPr>
                <w:rFonts w:cstheme="minorHAnsi"/>
              </w:rPr>
            </w:pPr>
          </w:p>
        </w:tc>
        <w:tc>
          <w:tcPr>
            <w:tcW w:w="5670" w:type="dxa"/>
            <w:shd w:val="clear" w:color="auto" w:fill="FFFFFF" w:themeFill="background1"/>
          </w:tcPr>
          <w:p w14:paraId="0D9B5B61" w14:textId="77777777" w:rsidR="00B36AFB" w:rsidRPr="00116559" w:rsidRDefault="00B36AFB" w:rsidP="00A454A2">
            <w:pPr>
              <w:jc w:val="both"/>
              <w:rPr>
                <w:rFonts w:cstheme="minorHAnsi"/>
              </w:rPr>
            </w:pPr>
          </w:p>
        </w:tc>
      </w:tr>
      <w:tr w:rsidR="00EA2852" w:rsidRPr="00116559" w14:paraId="35A6E91C" w14:textId="77777777" w:rsidTr="00722A95">
        <w:tc>
          <w:tcPr>
            <w:tcW w:w="851" w:type="dxa"/>
            <w:shd w:val="clear" w:color="auto" w:fill="FFFFFF" w:themeFill="background1"/>
          </w:tcPr>
          <w:p w14:paraId="6F2F5051" w14:textId="58BD90BC" w:rsidR="00EA2852" w:rsidRPr="00116559" w:rsidRDefault="003B7626" w:rsidP="00A454A2">
            <w:pPr>
              <w:jc w:val="both"/>
              <w:rPr>
                <w:rFonts w:cstheme="minorHAnsi"/>
                <w:b/>
                <w:bCs/>
              </w:rPr>
            </w:pPr>
            <w:r w:rsidRPr="00116559">
              <w:rPr>
                <w:rFonts w:cstheme="minorHAnsi"/>
                <w:b/>
                <w:bCs/>
              </w:rPr>
              <w:t>1</w:t>
            </w:r>
          </w:p>
        </w:tc>
        <w:tc>
          <w:tcPr>
            <w:tcW w:w="1701" w:type="dxa"/>
            <w:shd w:val="clear" w:color="auto" w:fill="FFFFFF" w:themeFill="background1"/>
          </w:tcPr>
          <w:p w14:paraId="154E1191" w14:textId="77777777" w:rsidR="005D5510" w:rsidRPr="00116559" w:rsidRDefault="005D5510" w:rsidP="005D5510">
            <w:pPr>
              <w:jc w:val="both"/>
              <w:rPr>
                <w:rFonts w:cstheme="minorHAnsi"/>
                <w:b/>
              </w:rPr>
            </w:pPr>
            <w:r w:rsidRPr="00116559">
              <w:rPr>
                <w:rFonts w:cstheme="minorHAnsi"/>
                <w:b/>
              </w:rPr>
              <w:t>Section 4</w:t>
            </w:r>
          </w:p>
          <w:p w14:paraId="00B94F98" w14:textId="77777777" w:rsidR="00EA2852" w:rsidRPr="00116559" w:rsidRDefault="005D5510" w:rsidP="005D5510">
            <w:pPr>
              <w:jc w:val="both"/>
              <w:rPr>
                <w:rFonts w:cstheme="minorHAnsi"/>
                <w:b/>
              </w:rPr>
            </w:pPr>
            <w:r w:rsidRPr="00116559">
              <w:rPr>
                <w:rFonts w:cstheme="minorHAnsi"/>
                <w:b/>
              </w:rPr>
              <w:t>Conditions of Listing</w:t>
            </w:r>
          </w:p>
          <w:p w14:paraId="0A7AB40D" w14:textId="77777777" w:rsidR="005D5510" w:rsidRPr="00116559" w:rsidRDefault="005D5510" w:rsidP="005D5510">
            <w:pPr>
              <w:jc w:val="both"/>
              <w:rPr>
                <w:rFonts w:cstheme="minorHAnsi"/>
                <w:b/>
              </w:rPr>
            </w:pPr>
          </w:p>
          <w:p w14:paraId="205A0F5F" w14:textId="77777777" w:rsidR="005D5510" w:rsidRPr="00116559" w:rsidRDefault="005D5510" w:rsidP="005D5510">
            <w:pPr>
              <w:jc w:val="both"/>
              <w:rPr>
                <w:rFonts w:cstheme="minorHAnsi"/>
                <w:b/>
              </w:rPr>
            </w:pPr>
            <w:r w:rsidRPr="00116559">
              <w:rPr>
                <w:rFonts w:cstheme="minorHAnsi"/>
                <w:b/>
              </w:rPr>
              <w:t>Section 6</w:t>
            </w:r>
          </w:p>
          <w:p w14:paraId="05292565" w14:textId="3A0C6F47" w:rsidR="005D5510" w:rsidRPr="00116559" w:rsidRDefault="005D5510" w:rsidP="005D5510">
            <w:pPr>
              <w:jc w:val="both"/>
              <w:rPr>
                <w:rFonts w:cstheme="minorHAnsi"/>
                <w:b/>
              </w:rPr>
            </w:pPr>
            <w:r w:rsidRPr="00116559">
              <w:rPr>
                <w:rFonts w:cstheme="minorHAnsi"/>
                <w:b/>
              </w:rPr>
              <w:t>Continuing Obligations</w:t>
            </w:r>
          </w:p>
        </w:tc>
        <w:tc>
          <w:tcPr>
            <w:tcW w:w="4394" w:type="dxa"/>
            <w:shd w:val="clear" w:color="auto" w:fill="FFFFFF" w:themeFill="background1"/>
          </w:tcPr>
          <w:p w14:paraId="394ABCD5" w14:textId="63CDCE32" w:rsidR="00EA2852" w:rsidRPr="00116559" w:rsidRDefault="00EA2852" w:rsidP="00EA2852">
            <w:pPr>
              <w:jc w:val="both"/>
              <w:rPr>
                <w:rFonts w:cstheme="minorHAnsi"/>
                <w:b/>
                <w:bCs/>
              </w:rPr>
            </w:pPr>
            <w:r w:rsidRPr="00116559">
              <w:rPr>
                <w:rFonts w:cstheme="minorHAnsi"/>
                <w:b/>
                <w:bCs/>
              </w:rPr>
              <w:t>General: Documents available for inspection at the registered address</w:t>
            </w:r>
          </w:p>
          <w:p w14:paraId="696C2F20" w14:textId="7658D78E" w:rsidR="007600E8" w:rsidRPr="00116559" w:rsidRDefault="007600E8" w:rsidP="00EA2852">
            <w:pPr>
              <w:jc w:val="both"/>
              <w:rPr>
                <w:rFonts w:cstheme="minorHAnsi"/>
                <w:b/>
                <w:bCs/>
              </w:rPr>
            </w:pPr>
          </w:p>
          <w:p w14:paraId="4952693B" w14:textId="265FEFE7" w:rsidR="007600E8" w:rsidRPr="00116559" w:rsidRDefault="007600E8" w:rsidP="00EA2852">
            <w:pPr>
              <w:jc w:val="both"/>
              <w:rPr>
                <w:rFonts w:cstheme="minorHAnsi"/>
                <w:b/>
                <w:bCs/>
              </w:rPr>
            </w:pPr>
            <w:r w:rsidRPr="00116559">
              <w:rPr>
                <w:rFonts w:cstheme="minorHAnsi"/>
                <w:b/>
                <w:bCs/>
              </w:rPr>
              <w:t xml:space="preserve">Paragraphs 4.12, </w:t>
            </w:r>
            <w:r w:rsidR="00E33FAE" w:rsidRPr="00116559">
              <w:rPr>
                <w:rFonts w:cstheme="minorHAnsi"/>
                <w:b/>
                <w:bCs/>
              </w:rPr>
              <w:t>4.16</w:t>
            </w:r>
            <w:r w:rsidR="00902E7B" w:rsidRPr="00116559">
              <w:rPr>
                <w:rFonts w:cstheme="minorHAnsi"/>
                <w:b/>
                <w:bCs/>
              </w:rPr>
              <w:t xml:space="preserve"> (see item 2)</w:t>
            </w:r>
            <w:r w:rsidR="00E33FAE" w:rsidRPr="00116559">
              <w:rPr>
                <w:rFonts w:cstheme="minorHAnsi"/>
                <w:b/>
                <w:bCs/>
              </w:rPr>
              <w:t xml:space="preserve">, </w:t>
            </w:r>
            <w:r w:rsidRPr="00116559">
              <w:rPr>
                <w:rFonts w:cstheme="minorHAnsi"/>
                <w:b/>
                <w:bCs/>
              </w:rPr>
              <w:t>4.19</w:t>
            </w:r>
            <w:r w:rsidR="00AE5AB1" w:rsidRPr="00116559">
              <w:rPr>
                <w:rFonts w:cstheme="minorHAnsi"/>
                <w:b/>
                <w:bCs/>
              </w:rPr>
              <w:t xml:space="preserve">, </w:t>
            </w:r>
            <w:r w:rsidR="00C74704" w:rsidRPr="00116559">
              <w:rPr>
                <w:rFonts w:cstheme="minorHAnsi"/>
                <w:b/>
                <w:bCs/>
              </w:rPr>
              <w:t xml:space="preserve">4.38, </w:t>
            </w:r>
            <w:r w:rsidR="00AE5AB1" w:rsidRPr="00116559">
              <w:rPr>
                <w:rFonts w:cstheme="minorHAnsi"/>
                <w:b/>
                <w:bCs/>
              </w:rPr>
              <w:t>4.40</w:t>
            </w:r>
            <w:r w:rsidR="009812DF" w:rsidRPr="00116559">
              <w:rPr>
                <w:rFonts w:cstheme="minorHAnsi"/>
                <w:b/>
                <w:bCs/>
              </w:rPr>
              <w:t>, 4.41</w:t>
            </w:r>
            <w:r w:rsidR="00797BBE" w:rsidRPr="00116559">
              <w:rPr>
                <w:rFonts w:cstheme="minorHAnsi"/>
                <w:b/>
                <w:bCs/>
              </w:rPr>
              <w:t xml:space="preserve"> and 6.33</w:t>
            </w:r>
            <w:r w:rsidR="00902E7B" w:rsidRPr="00116559">
              <w:rPr>
                <w:rFonts w:cstheme="minorHAnsi"/>
                <w:b/>
                <w:bCs/>
              </w:rPr>
              <w:t xml:space="preserve"> (see item 2)</w:t>
            </w:r>
          </w:p>
          <w:p w14:paraId="033B1694" w14:textId="77777777" w:rsidR="00EA2852" w:rsidRPr="00116559" w:rsidRDefault="00EA2852" w:rsidP="00EA2852">
            <w:pPr>
              <w:jc w:val="both"/>
              <w:rPr>
                <w:rFonts w:cstheme="minorHAnsi"/>
              </w:rPr>
            </w:pPr>
          </w:p>
          <w:p w14:paraId="0CDDE9CF" w14:textId="4CED963A" w:rsidR="00EA2852" w:rsidRPr="00116559" w:rsidRDefault="00EA2852" w:rsidP="00EA2852">
            <w:pPr>
              <w:jc w:val="both"/>
              <w:rPr>
                <w:rFonts w:cstheme="minorHAnsi"/>
              </w:rPr>
            </w:pPr>
            <w:r w:rsidRPr="00116559">
              <w:rPr>
                <w:rFonts w:cstheme="minorHAnsi"/>
              </w:rPr>
              <w:t xml:space="preserve">The JSE intends to amend the Debt Requirements to </w:t>
            </w:r>
            <w:r w:rsidR="00FA3404" w:rsidRPr="00116559">
              <w:rPr>
                <w:rFonts w:cstheme="minorHAnsi"/>
              </w:rPr>
              <w:t xml:space="preserve">remove </w:t>
            </w:r>
            <w:r w:rsidR="00C53C4F" w:rsidRPr="00116559">
              <w:rPr>
                <w:rFonts w:cstheme="minorHAnsi"/>
              </w:rPr>
              <w:t xml:space="preserve">the inspection of </w:t>
            </w:r>
            <w:r w:rsidR="002716AA" w:rsidRPr="00116559">
              <w:rPr>
                <w:rFonts w:cstheme="minorHAnsi"/>
              </w:rPr>
              <w:t>documents</w:t>
            </w:r>
            <w:r w:rsidR="00A17556" w:rsidRPr="00116559">
              <w:rPr>
                <w:rFonts w:cstheme="minorHAnsi"/>
              </w:rPr>
              <w:t xml:space="preserve"> at the registered office</w:t>
            </w:r>
            <w:r w:rsidR="00EC7161" w:rsidRPr="00116559">
              <w:rPr>
                <w:rFonts w:cstheme="minorHAnsi"/>
              </w:rPr>
              <w:t xml:space="preserve">s of </w:t>
            </w:r>
            <w:r w:rsidR="00DD5D29" w:rsidRPr="00116559">
              <w:rPr>
                <w:rFonts w:cstheme="minorHAnsi"/>
              </w:rPr>
              <w:t>issuers</w:t>
            </w:r>
            <w:r w:rsidR="00C53C4F" w:rsidRPr="00116559">
              <w:rPr>
                <w:rFonts w:cstheme="minorHAnsi"/>
              </w:rPr>
              <w:t xml:space="preserve"> and rather </w:t>
            </w:r>
            <w:r w:rsidR="00A17556" w:rsidRPr="00116559">
              <w:rPr>
                <w:rFonts w:cstheme="minorHAnsi"/>
              </w:rPr>
              <w:t xml:space="preserve">make </w:t>
            </w:r>
            <w:r w:rsidR="00F6520C" w:rsidRPr="00116559">
              <w:rPr>
                <w:rFonts w:cstheme="minorHAnsi"/>
              </w:rPr>
              <w:t xml:space="preserve">the required </w:t>
            </w:r>
            <w:r w:rsidR="00A17556" w:rsidRPr="00116559">
              <w:rPr>
                <w:rFonts w:cstheme="minorHAnsi"/>
              </w:rPr>
              <w:t>document</w:t>
            </w:r>
            <w:r w:rsidR="005B7680" w:rsidRPr="00116559">
              <w:rPr>
                <w:rFonts w:cstheme="minorHAnsi"/>
              </w:rPr>
              <w:t>s</w:t>
            </w:r>
            <w:r w:rsidR="00A17556" w:rsidRPr="00116559">
              <w:rPr>
                <w:rFonts w:cstheme="minorHAnsi"/>
              </w:rPr>
              <w:t xml:space="preserve"> available on the issuer’s website. </w:t>
            </w:r>
          </w:p>
          <w:p w14:paraId="2FFCD826" w14:textId="11FD09CA" w:rsidR="00DD5D29" w:rsidRPr="00116559" w:rsidRDefault="00DD5D29" w:rsidP="00EA2852">
            <w:pPr>
              <w:jc w:val="both"/>
              <w:rPr>
                <w:rFonts w:cstheme="minorHAnsi"/>
              </w:rPr>
            </w:pPr>
          </w:p>
          <w:p w14:paraId="336D5802" w14:textId="20551576" w:rsidR="00DD5D29" w:rsidRPr="00116559" w:rsidRDefault="00DD5D29" w:rsidP="00EA2852">
            <w:pPr>
              <w:jc w:val="both"/>
              <w:rPr>
                <w:rFonts w:cstheme="minorHAnsi"/>
              </w:rPr>
            </w:pPr>
            <w:r w:rsidRPr="00116559">
              <w:rPr>
                <w:rFonts w:cstheme="minorHAnsi"/>
              </w:rPr>
              <w:t xml:space="preserve">The JSE will further remove the provisions that document be made available </w:t>
            </w:r>
            <w:r w:rsidR="00AE2EB6" w:rsidRPr="00116559">
              <w:rPr>
                <w:rFonts w:cstheme="minorHAnsi"/>
              </w:rPr>
              <w:t xml:space="preserve">for inspection </w:t>
            </w:r>
            <w:r w:rsidRPr="00116559">
              <w:rPr>
                <w:rFonts w:cstheme="minorHAnsi"/>
              </w:rPr>
              <w:t xml:space="preserve">on the JSE’s website. </w:t>
            </w:r>
          </w:p>
          <w:p w14:paraId="692B7EE8" w14:textId="44B07EA5" w:rsidR="005B7680" w:rsidRPr="00116559" w:rsidRDefault="005B7680" w:rsidP="00EA2852">
            <w:pPr>
              <w:jc w:val="both"/>
              <w:rPr>
                <w:rFonts w:cstheme="minorHAnsi"/>
              </w:rPr>
            </w:pPr>
          </w:p>
          <w:p w14:paraId="41F75D27" w14:textId="1051BD94" w:rsidR="005B7680" w:rsidRPr="00116559" w:rsidRDefault="001A4A78" w:rsidP="00EA2852">
            <w:pPr>
              <w:jc w:val="both"/>
              <w:rPr>
                <w:rFonts w:cstheme="minorHAnsi"/>
              </w:rPr>
            </w:pPr>
            <w:r w:rsidRPr="00116559">
              <w:rPr>
                <w:rFonts w:cstheme="minorHAnsi"/>
              </w:rPr>
              <w:t xml:space="preserve">The JSE will issue </w:t>
            </w:r>
            <w:r w:rsidR="005B7680" w:rsidRPr="00116559">
              <w:rPr>
                <w:rFonts w:cstheme="minorHAnsi"/>
              </w:rPr>
              <w:t>transitional arrangements</w:t>
            </w:r>
            <w:r w:rsidRPr="00116559">
              <w:rPr>
                <w:rFonts w:cstheme="minorHAnsi"/>
              </w:rPr>
              <w:t xml:space="preserve"> regarding existing issuers. </w:t>
            </w:r>
          </w:p>
          <w:p w14:paraId="168C51CF" w14:textId="1BD3E18F" w:rsidR="007544D4" w:rsidRPr="00116559" w:rsidRDefault="007544D4" w:rsidP="004F06E6">
            <w:pPr>
              <w:jc w:val="both"/>
              <w:rPr>
                <w:rFonts w:cstheme="minorHAnsi"/>
                <w:b/>
                <w:bCs/>
              </w:rPr>
            </w:pPr>
          </w:p>
        </w:tc>
        <w:tc>
          <w:tcPr>
            <w:tcW w:w="5670" w:type="dxa"/>
            <w:shd w:val="clear" w:color="auto" w:fill="FFFFFF" w:themeFill="background1"/>
          </w:tcPr>
          <w:p w14:paraId="1A8C47A6" w14:textId="140B0876" w:rsidR="00EA2852" w:rsidRPr="00116559" w:rsidRDefault="00EA2852" w:rsidP="00A454A2">
            <w:pPr>
              <w:jc w:val="both"/>
              <w:rPr>
                <w:rFonts w:cstheme="minorHAnsi"/>
              </w:rPr>
            </w:pPr>
            <w:r w:rsidRPr="00116559">
              <w:rPr>
                <w:rFonts w:cstheme="minorHAnsi"/>
              </w:rPr>
              <w:lastRenderedPageBreak/>
              <w:t>The amendments aim to make the viewing of required documents open for inspection more accessible</w:t>
            </w:r>
            <w:r w:rsidR="00A17556" w:rsidRPr="00116559">
              <w:rPr>
                <w:rFonts w:cstheme="minorHAnsi"/>
              </w:rPr>
              <w:t>.</w:t>
            </w:r>
            <w:r w:rsidR="00C25266" w:rsidRPr="00116559">
              <w:rPr>
                <w:rFonts w:cstheme="minorHAnsi"/>
              </w:rPr>
              <w:t xml:space="preserve"> Furthermore, the inspection of document</w:t>
            </w:r>
            <w:r w:rsidR="004D18EE" w:rsidRPr="00116559">
              <w:rPr>
                <w:rFonts w:cstheme="minorHAnsi"/>
              </w:rPr>
              <w:t>s</w:t>
            </w:r>
            <w:r w:rsidR="00C25266" w:rsidRPr="00116559">
              <w:rPr>
                <w:rFonts w:cstheme="minorHAnsi"/>
              </w:rPr>
              <w:t xml:space="preserve"> at a registered office is outdated.</w:t>
            </w:r>
          </w:p>
          <w:p w14:paraId="6FC10CDC" w14:textId="5C173D58" w:rsidR="002716AA" w:rsidRPr="00116559" w:rsidRDefault="002716AA" w:rsidP="00A454A2">
            <w:pPr>
              <w:jc w:val="both"/>
              <w:rPr>
                <w:rFonts w:cstheme="minorHAnsi"/>
              </w:rPr>
            </w:pPr>
          </w:p>
          <w:p w14:paraId="4D865B1B" w14:textId="2FA1A6EC" w:rsidR="002716AA" w:rsidRPr="00116559" w:rsidRDefault="00DA7289" w:rsidP="002716AA">
            <w:pPr>
              <w:jc w:val="both"/>
              <w:rPr>
                <w:rFonts w:cstheme="minorHAnsi"/>
              </w:rPr>
            </w:pPr>
            <w:r w:rsidRPr="00116559">
              <w:rPr>
                <w:rFonts w:cstheme="minorHAnsi"/>
              </w:rPr>
              <w:t xml:space="preserve">The practice of making documents available on the websites of both the issuer and the JSE, </w:t>
            </w:r>
            <w:r w:rsidR="002716AA" w:rsidRPr="00116559">
              <w:rPr>
                <w:rFonts w:cstheme="minorHAnsi"/>
              </w:rPr>
              <w:t xml:space="preserve">is burdensome for issuers and duplicates </w:t>
            </w:r>
            <w:r w:rsidR="00C25266" w:rsidRPr="00116559">
              <w:rPr>
                <w:rFonts w:cstheme="minorHAnsi"/>
              </w:rPr>
              <w:t>regulatory compliance</w:t>
            </w:r>
            <w:r w:rsidR="002716AA" w:rsidRPr="00116559">
              <w:rPr>
                <w:rFonts w:cstheme="minorHAnsi"/>
              </w:rPr>
              <w:t xml:space="preserve">. </w:t>
            </w:r>
          </w:p>
          <w:p w14:paraId="6E8800F0" w14:textId="77777777" w:rsidR="002B4FEA" w:rsidRPr="00116559" w:rsidRDefault="002B4FEA" w:rsidP="00A454A2">
            <w:pPr>
              <w:jc w:val="both"/>
              <w:rPr>
                <w:rFonts w:cstheme="minorHAnsi"/>
              </w:rPr>
            </w:pPr>
          </w:p>
          <w:p w14:paraId="202B3BEE" w14:textId="38420CFE" w:rsidR="002B4FEA" w:rsidRPr="00116559" w:rsidRDefault="002B4FEA" w:rsidP="00A454A2">
            <w:pPr>
              <w:jc w:val="both"/>
              <w:rPr>
                <w:rFonts w:cstheme="minorHAnsi"/>
              </w:rPr>
            </w:pPr>
          </w:p>
        </w:tc>
      </w:tr>
      <w:tr w:rsidR="00EA2852" w:rsidRPr="00116559" w14:paraId="5EAE88F5" w14:textId="77777777" w:rsidTr="00722A95">
        <w:tc>
          <w:tcPr>
            <w:tcW w:w="851" w:type="dxa"/>
            <w:shd w:val="clear" w:color="auto" w:fill="FFFFFF" w:themeFill="background1"/>
          </w:tcPr>
          <w:p w14:paraId="0FAFA317" w14:textId="77777777" w:rsidR="00EA2852" w:rsidRPr="00116559" w:rsidRDefault="00EA2852" w:rsidP="00A454A2">
            <w:pPr>
              <w:jc w:val="both"/>
              <w:rPr>
                <w:rFonts w:cstheme="minorHAnsi"/>
              </w:rPr>
            </w:pPr>
          </w:p>
        </w:tc>
        <w:tc>
          <w:tcPr>
            <w:tcW w:w="1701" w:type="dxa"/>
            <w:shd w:val="clear" w:color="auto" w:fill="FFFFFF" w:themeFill="background1"/>
          </w:tcPr>
          <w:p w14:paraId="60107076" w14:textId="77777777" w:rsidR="00EA2852" w:rsidRPr="00116559" w:rsidRDefault="00EA2852" w:rsidP="0001460E">
            <w:pPr>
              <w:jc w:val="both"/>
              <w:rPr>
                <w:rFonts w:cstheme="minorHAnsi"/>
                <w:b/>
              </w:rPr>
            </w:pPr>
          </w:p>
        </w:tc>
        <w:tc>
          <w:tcPr>
            <w:tcW w:w="4394" w:type="dxa"/>
            <w:shd w:val="clear" w:color="auto" w:fill="FFFFFF" w:themeFill="background1"/>
          </w:tcPr>
          <w:p w14:paraId="71B7472A" w14:textId="77777777" w:rsidR="00EA2852" w:rsidRPr="00116559" w:rsidRDefault="00EA2852" w:rsidP="004F06E6">
            <w:pPr>
              <w:jc w:val="both"/>
              <w:rPr>
                <w:rFonts w:cstheme="minorHAnsi"/>
                <w:b/>
                <w:bCs/>
              </w:rPr>
            </w:pPr>
          </w:p>
        </w:tc>
        <w:tc>
          <w:tcPr>
            <w:tcW w:w="5670" w:type="dxa"/>
            <w:shd w:val="clear" w:color="auto" w:fill="FFFFFF" w:themeFill="background1"/>
          </w:tcPr>
          <w:p w14:paraId="1F321078" w14:textId="77777777" w:rsidR="00EA2852" w:rsidRPr="00116559" w:rsidRDefault="00EA2852" w:rsidP="00A454A2">
            <w:pPr>
              <w:jc w:val="both"/>
              <w:rPr>
                <w:rFonts w:cstheme="minorHAnsi"/>
              </w:rPr>
            </w:pPr>
          </w:p>
        </w:tc>
      </w:tr>
      <w:tr w:rsidR="0001460E" w:rsidRPr="00116559" w14:paraId="1FBF8FC2" w14:textId="77777777" w:rsidTr="00722A95">
        <w:tc>
          <w:tcPr>
            <w:tcW w:w="851" w:type="dxa"/>
            <w:shd w:val="clear" w:color="auto" w:fill="FFFFFF" w:themeFill="background1"/>
          </w:tcPr>
          <w:p w14:paraId="0D249485" w14:textId="7B666797" w:rsidR="0001460E" w:rsidRPr="00116559" w:rsidRDefault="003B7626" w:rsidP="00A454A2">
            <w:pPr>
              <w:jc w:val="both"/>
              <w:rPr>
                <w:rFonts w:cstheme="minorHAnsi"/>
                <w:b/>
                <w:bCs/>
              </w:rPr>
            </w:pPr>
            <w:r w:rsidRPr="00116559">
              <w:rPr>
                <w:rFonts w:cstheme="minorHAnsi"/>
                <w:b/>
                <w:bCs/>
              </w:rPr>
              <w:t>2</w:t>
            </w:r>
          </w:p>
        </w:tc>
        <w:tc>
          <w:tcPr>
            <w:tcW w:w="1701" w:type="dxa"/>
            <w:shd w:val="clear" w:color="auto" w:fill="FFFFFF" w:themeFill="background1"/>
          </w:tcPr>
          <w:p w14:paraId="65352748" w14:textId="41D38F8B" w:rsidR="0001460E" w:rsidRPr="00116559" w:rsidRDefault="0001460E" w:rsidP="0001460E">
            <w:pPr>
              <w:jc w:val="both"/>
              <w:rPr>
                <w:rFonts w:cstheme="minorHAnsi"/>
                <w:b/>
              </w:rPr>
            </w:pPr>
            <w:r w:rsidRPr="00116559">
              <w:rPr>
                <w:rFonts w:cstheme="minorHAnsi"/>
                <w:b/>
              </w:rPr>
              <w:t>Section 3</w:t>
            </w:r>
          </w:p>
          <w:p w14:paraId="77B28DB9" w14:textId="4330D0F2" w:rsidR="0001460E" w:rsidRPr="00116559" w:rsidRDefault="0001460E" w:rsidP="0001460E">
            <w:pPr>
              <w:jc w:val="both"/>
              <w:rPr>
                <w:rFonts w:cstheme="minorHAnsi"/>
                <w:b/>
              </w:rPr>
            </w:pPr>
            <w:r w:rsidRPr="00116559">
              <w:rPr>
                <w:rFonts w:cstheme="minorHAnsi"/>
                <w:b/>
              </w:rPr>
              <w:t>Continuing Obligations</w:t>
            </w:r>
          </w:p>
          <w:p w14:paraId="01DBB82C" w14:textId="77777777" w:rsidR="0001460E" w:rsidRPr="00116559" w:rsidRDefault="0001460E" w:rsidP="0001460E">
            <w:pPr>
              <w:jc w:val="both"/>
              <w:rPr>
                <w:rFonts w:cstheme="minorHAnsi"/>
                <w:b/>
              </w:rPr>
            </w:pPr>
          </w:p>
          <w:p w14:paraId="43056DAD" w14:textId="026F5658" w:rsidR="0001460E" w:rsidRPr="00116559" w:rsidRDefault="0001460E" w:rsidP="0001460E">
            <w:pPr>
              <w:jc w:val="both"/>
              <w:rPr>
                <w:rFonts w:cstheme="minorHAnsi"/>
                <w:b/>
              </w:rPr>
            </w:pPr>
            <w:r w:rsidRPr="00116559">
              <w:rPr>
                <w:rFonts w:cstheme="minorHAnsi"/>
                <w:b/>
              </w:rPr>
              <w:t xml:space="preserve">Section </w:t>
            </w:r>
            <w:r w:rsidR="005D5510" w:rsidRPr="00116559">
              <w:rPr>
                <w:rFonts w:cstheme="minorHAnsi"/>
                <w:b/>
              </w:rPr>
              <w:t>4</w:t>
            </w:r>
          </w:p>
          <w:p w14:paraId="4F62657E" w14:textId="4801BB9D" w:rsidR="0001460E" w:rsidRPr="00116559" w:rsidRDefault="0001460E" w:rsidP="0001460E">
            <w:pPr>
              <w:jc w:val="both"/>
              <w:rPr>
                <w:rFonts w:cstheme="minorHAnsi"/>
              </w:rPr>
            </w:pPr>
            <w:r w:rsidRPr="00116559">
              <w:rPr>
                <w:rFonts w:cstheme="minorHAnsi"/>
                <w:b/>
              </w:rPr>
              <w:t>Conditions of Listing</w:t>
            </w:r>
          </w:p>
        </w:tc>
        <w:tc>
          <w:tcPr>
            <w:tcW w:w="4394" w:type="dxa"/>
            <w:shd w:val="clear" w:color="auto" w:fill="FFFFFF" w:themeFill="background1"/>
          </w:tcPr>
          <w:p w14:paraId="00EE31F7" w14:textId="207FBAA6" w:rsidR="00F10369" w:rsidRPr="00116559" w:rsidRDefault="007F130B" w:rsidP="00F10369">
            <w:pPr>
              <w:jc w:val="both"/>
              <w:rPr>
                <w:rFonts w:cstheme="minorHAnsi"/>
                <w:b/>
                <w:bCs/>
              </w:rPr>
            </w:pPr>
            <w:r w:rsidRPr="00116559">
              <w:rPr>
                <w:rFonts w:cstheme="minorHAnsi"/>
                <w:b/>
                <w:bCs/>
              </w:rPr>
              <w:t>Documents avai</w:t>
            </w:r>
            <w:r w:rsidR="00677E6E" w:rsidRPr="00116559">
              <w:rPr>
                <w:rFonts w:cstheme="minorHAnsi"/>
                <w:b/>
                <w:bCs/>
              </w:rPr>
              <w:t>lable for inspection</w:t>
            </w:r>
          </w:p>
          <w:p w14:paraId="48E51D65" w14:textId="77777777" w:rsidR="00677E6E" w:rsidRPr="00116559" w:rsidRDefault="00677E6E" w:rsidP="00EA2852">
            <w:pPr>
              <w:jc w:val="both"/>
              <w:rPr>
                <w:rFonts w:cstheme="minorHAnsi"/>
              </w:rPr>
            </w:pPr>
          </w:p>
          <w:p w14:paraId="0DEC9EBA" w14:textId="0C0F71D3" w:rsidR="00677E6E" w:rsidRPr="00116559" w:rsidRDefault="00677E6E" w:rsidP="00EA2852">
            <w:pPr>
              <w:jc w:val="both"/>
              <w:rPr>
                <w:rFonts w:cstheme="minorHAnsi"/>
                <w:b/>
                <w:bCs/>
              </w:rPr>
            </w:pPr>
            <w:r w:rsidRPr="00116559">
              <w:rPr>
                <w:rFonts w:cstheme="minorHAnsi"/>
                <w:b/>
                <w:bCs/>
              </w:rPr>
              <w:t>Paragraph 4.1</w:t>
            </w:r>
            <w:r w:rsidR="00C129B9" w:rsidRPr="00116559">
              <w:rPr>
                <w:rFonts w:cstheme="minorHAnsi"/>
                <w:b/>
                <w:bCs/>
              </w:rPr>
              <w:t>6</w:t>
            </w:r>
            <w:r w:rsidR="00AE2EB6" w:rsidRPr="00116559">
              <w:rPr>
                <w:rFonts w:cstheme="minorHAnsi"/>
                <w:b/>
                <w:bCs/>
              </w:rPr>
              <w:t xml:space="preserve">: </w:t>
            </w:r>
            <w:r w:rsidRPr="00116559">
              <w:rPr>
                <w:rFonts w:cstheme="minorHAnsi"/>
                <w:b/>
                <w:bCs/>
              </w:rPr>
              <w:t>Placing Document</w:t>
            </w:r>
          </w:p>
          <w:p w14:paraId="0F2D85FC" w14:textId="44B91346" w:rsidR="00AE2EB6" w:rsidRPr="00116559" w:rsidRDefault="00AE2EB6" w:rsidP="00EA2852">
            <w:pPr>
              <w:jc w:val="both"/>
              <w:rPr>
                <w:rFonts w:cstheme="minorHAnsi"/>
                <w:b/>
                <w:bCs/>
              </w:rPr>
            </w:pPr>
            <w:r w:rsidRPr="00116559">
              <w:rPr>
                <w:rFonts w:cstheme="minorHAnsi"/>
                <w:b/>
                <w:bCs/>
              </w:rPr>
              <w:t>Paragraph 6.33: Continuing Obligations</w:t>
            </w:r>
          </w:p>
          <w:p w14:paraId="0B25379B" w14:textId="77777777" w:rsidR="00EF463D" w:rsidRPr="00116559" w:rsidRDefault="00EF463D" w:rsidP="00EA2852">
            <w:pPr>
              <w:jc w:val="both"/>
              <w:rPr>
                <w:rFonts w:cstheme="minorHAnsi"/>
                <w:b/>
                <w:bCs/>
              </w:rPr>
            </w:pPr>
          </w:p>
          <w:p w14:paraId="0C5F0C2F" w14:textId="6684195E" w:rsidR="003F5A59" w:rsidRPr="00116559" w:rsidRDefault="00F83664" w:rsidP="00EA2852">
            <w:pPr>
              <w:jc w:val="both"/>
              <w:rPr>
                <w:rFonts w:cstheme="minorHAnsi"/>
              </w:rPr>
            </w:pPr>
            <w:r w:rsidRPr="00116559">
              <w:rPr>
                <w:rFonts w:cstheme="minorHAnsi"/>
              </w:rPr>
              <w:t>There are inconsistencies in relation to the document</w:t>
            </w:r>
            <w:r w:rsidR="00EF463D" w:rsidRPr="00116559">
              <w:rPr>
                <w:rFonts w:cstheme="minorHAnsi"/>
              </w:rPr>
              <w:t>s</w:t>
            </w:r>
            <w:r w:rsidRPr="00116559">
              <w:rPr>
                <w:rFonts w:cstheme="minorHAnsi"/>
              </w:rPr>
              <w:t xml:space="preserve"> to be made avai</w:t>
            </w:r>
            <w:r w:rsidR="00A135D8" w:rsidRPr="00116559">
              <w:rPr>
                <w:rFonts w:cstheme="minorHAnsi"/>
              </w:rPr>
              <w:t>lab</w:t>
            </w:r>
            <w:r w:rsidRPr="00116559">
              <w:rPr>
                <w:rFonts w:cstheme="minorHAnsi"/>
              </w:rPr>
              <w:t xml:space="preserve">le </w:t>
            </w:r>
            <w:r w:rsidR="00DA57CC" w:rsidRPr="00116559">
              <w:rPr>
                <w:rFonts w:cstheme="minorHAnsi"/>
              </w:rPr>
              <w:t>when registering a</w:t>
            </w:r>
            <w:r w:rsidRPr="00116559">
              <w:rPr>
                <w:rFonts w:cstheme="minorHAnsi"/>
              </w:rPr>
              <w:t xml:space="preserve"> placing document and on a cont</w:t>
            </w:r>
            <w:r w:rsidR="00A135D8" w:rsidRPr="00116559">
              <w:rPr>
                <w:rFonts w:cstheme="minorHAnsi"/>
              </w:rPr>
              <w:t>in</w:t>
            </w:r>
            <w:r w:rsidRPr="00116559">
              <w:rPr>
                <w:rFonts w:cstheme="minorHAnsi"/>
              </w:rPr>
              <w:t xml:space="preserve">uing </w:t>
            </w:r>
            <w:r w:rsidR="00A135D8" w:rsidRPr="00116559">
              <w:rPr>
                <w:rFonts w:cstheme="minorHAnsi"/>
              </w:rPr>
              <w:t>basis</w:t>
            </w:r>
            <w:r w:rsidRPr="00116559">
              <w:rPr>
                <w:rFonts w:cstheme="minorHAnsi"/>
              </w:rPr>
              <w:t xml:space="preserve">. </w:t>
            </w:r>
          </w:p>
          <w:p w14:paraId="34A5746A" w14:textId="77777777" w:rsidR="003F5A59" w:rsidRPr="00116559" w:rsidRDefault="003F5A59" w:rsidP="00EA2852">
            <w:pPr>
              <w:jc w:val="both"/>
              <w:rPr>
                <w:rFonts w:cstheme="minorHAnsi"/>
              </w:rPr>
            </w:pPr>
          </w:p>
          <w:p w14:paraId="34F18954" w14:textId="7EB34F63" w:rsidR="00677E6E" w:rsidRPr="00116559" w:rsidRDefault="003F5A59" w:rsidP="00EA2852">
            <w:pPr>
              <w:jc w:val="both"/>
              <w:rPr>
                <w:rFonts w:cstheme="minorHAnsi"/>
              </w:rPr>
            </w:pPr>
            <w:r w:rsidRPr="00116559">
              <w:rPr>
                <w:rFonts w:cstheme="minorHAnsi"/>
              </w:rPr>
              <w:t xml:space="preserve">The JSE intends to amend the Debt Requirements </w:t>
            </w:r>
            <w:r w:rsidR="00F83664" w:rsidRPr="00116559">
              <w:rPr>
                <w:rFonts w:cstheme="minorHAnsi"/>
              </w:rPr>
              <w:t>to align th</w:t>
            </w:r>
            <w:r w:rsidR="00EF463D" w:rsidRPr="00116559">
              <w:rPr>
                <w:rFonts w:cstheme="minorHAnsi"/>
              </w:rPr>
              <w:t>ese documents for</w:t>
            </w:r>
            <w:r w:rsidR="00F83664" w:rsidRPr="00116559">
              <w:rPr>
                <w:rFonts w:cstheme="minorHAnsi"/>
              </w:rPr>
              <w:t xml:space="preserve"> </w:t>
            </w:r>
            <w:r w:rsidR="00A135D8" w:rsidRPr="00116559">
              <w:rPr>
                <w:rFonts w:cstheme="minorHAnsi"/>
              </w:rPr>
              <w:t xml:space="preserve">disclosure. </w:t>
            </w:r>
          </w:p>
          <w:p w14:paraId="2495B5A9" w14:textId="1E66CA45" w:rsidR="00AE2EB6" w:rsidRPr="00116559" w:rsidRDefault="00AE2EB6" w:rsidP="00EA2852">
            <w:pPr>
              <w:jc w:val="both"/>
              <w:rPr>
                <w:rFonts w:cstheme="minorHAnsi"/>
              </w:rPr>
            </w:pPr>
          </w:p>
          <w:p w14:paraId="59455A77" w14:textId="7D5D367B" w:rsidR="00AE2EB6" w:rsidRPr="00116559" w:rsidRDefault="00AE2EB6" w:rsidP="00AE2EB6">
            <w:pPr>
              <w:jc w:val="both"/>
              <w:rPr>
                <w:rFonts w:cstheme="minorHAnsi"/>
              </w:rPr>
            </w:pPr>
            <w:r w:rsidRPr="00116559">
              <w:rPr>
                <w:rFonts w:cstheme="minorHAnsi"/>
              </w:rPr>
              <w:t>The JSE will further remove the provision that document</w:t>
            </w:r>
            <w:r w:rsidR="004D18EE" w:rsidRPr="00116559">
              <w:rPr>
                <w:rFonts w:cstheme="minorHAnsi"/>
              </w:rPr>
              <w:t>s</w:t>
            </w:r>
            <w:r w:rsidRPr="00116559">
              <w:rPr>
                <w:rFonts w:cstheme="minorHAnsi"/>
              </w:rPr>
              <w:t xml:space="preserve"> be made available for inspection on the JSE’s website. </w:t>
            </w:r>
          </w:p>
          <w:p w14:paraId="7C000CBC" w14:textId="28F57279" w:rsidR="00F824E7" w:rsidRPr="00116559" w:rsidRDefault="00F824E7" w:rsidP="00AE2EB6">
            <w:pPr>
              <w:jc w:val="both"/>
              <w:rPr>
                <w:rFonts w:cstheme="minorHAnsi"/>
              </w:rPr>
            </w:pPr>
          </w:p>
          <w:p w14:paraId="77087D63" w14:textId="77777777" w:rsidR="00F824E7" w:rsidRPr="00116559" w:rsidRDefault="00F824E7" w:rsidP="00F824E7">
            <w:pPr>
              <w:jc w:val="both"/>
              <w:rPr>
                <w:rFonts w:cstheme="minorHAnsi"/>
              </w:rPr>
            </w:pPr>
            <w:r w:rsidRPr="00116559">
              <w:rPr>
                <w:rFonts w:cstheme="minorHAnsi"/>
              </w:rPr>
              <w:t xml:space="preserve">The JSE will issue transitional arrangements regarding existing issuers. </w:t>
            </w:r>
          </w:p>
          <w:p w14:paraId="2201EFAA" w14:textId="77777777" w:rsidR="00677E6E" w:rsidRPr="00116559" w:rsidRDefault="00677E6E" w:rsidP="00EA2852">
            <w:pPr>
              <w:jc w:val="both"/>
              <w:rPr>
                <w:rFonts w:cstheme="minorHAnsi"/>
              </w:rPr>
            </w:pPr>
          </w:p>
          <w:p w14:paraId="0CDC6EF0" w14:textId="79CF5522" w:rsidR="00677E6E" w:rsidRPr="00116559" w:rsidRDefault="00677E6E" w:rsidP="00EA2852">
            <w:pPr>
              <w:jc w:val="both"/>
              <w:rPr>
                <w:rFonts w:cstheme="minorHAnsi"/>
              </w:rPr>
            </w:pPr>
          </w:p>
        </w:tc>
        <w:tc>
          <w:tcPr>
            <w:tcW w:w="5670" w:type="dxa"/>
            <w:shd w:val="clear" w:color="auto" w:fill="FFFFFF" w:themeFill="background1"/>
          </w:tcPr>
          <w:p w14:paraId="5322CA24" w14:textId="0EFBC9EE" w:rsidR="0001460E" w:rsidRPr="00116559" w:rsidRDefault="00FE38E8" w:rsidP="00A454A2">
            <w:pPr>
              <w:jc w:val="both"/>
              <w:rPr>
                <w:rFonts w:cstheme="minorHAnsi"/>
              </w:rPr>
            </w:pPr>
            <w:r w:rsidRPr="00116559">
              <w:rPr>
                <w:rFonts w:cstheme="minorHAnsi"/>
              </w:rPr>
              <w:t xml:space="preserve">The amendments aim to remove inconsistencies and make the viewing of </w:t>
            </w:r>
            <w:r w:rsidR="004D18EE" w:rsidRPr="00116559">
              <w:rPr>
                <w:rFonts w:cstheme="minorHAnsi"/>
              </w:rPr>
              <w:t xml:space="preserve">the </w:t>
            </w:r>
            <w:r w:rsidRPr="00116559">
              <w:rPr>
                <w:rFonts w:cstheme="minorHAnsi"/>
              </w:rPr>
              <w:t>required documents open for inspection</w:t>
            </w:r>
            <w:r w:rsidR="004D18EE" w:rsidRPr="00116559">
              <w:rPr>
                <w:rFonts w:cstheme="minorHAnsi"/>
              </w:rPr>
              <w:t>,</w:t>
            </w:r>
            <w:r w:rsidRPr="00116559">
              <w:rPr>
                <w:rFonts w:cstheme="minorHAnsi"/>
              </w:rPr>
              <w:t xml:space="preserve"> more accessible.</w:t>
            </w:r>
          </w:p>
          <w:p w14:paraId="54E6C178" w14:textId="77777777" w:rsidR="006B2768" w:rsidRPr="00116559" w:rsidRDefault="006B2768" w:rsidP="00A454A2">
            <w:pPr>
              <w:jc w:val="both"/>
              <w:rPr>
                <w:rFonts w:cstheme="minorHAnsi"/>
              </w:rPr>
            </w:pPr>
          </w:p>
          <w:p w14:paraId="7F98B0B2" w14:textId="3398F6EE" w:rsidR="006B2768" w:rsidRPr="00116559" w:rsidRDefault="006B2768" w:rsidP="00A454A2">
            <w:pPr>
              <w:jc w:val="both"/>
              <w:rPr>
                <w:rFonts w:cstheme="minorHAnsi"/>
              </w:rPr>
            </w:pPr>
            <w:r w:rsidRPr="00116559">
              <w:rPr>
                <w:rFonts w:cstheme="minorHAnsi"/>
              </w:rPr>
              <w:t>The practice of making documents available on the websites of both the issuer and the JSE, is burdensome for issuers and duplicates regulatory compliance</w:t>
            </w:r>
          </w:p>
        </w:tc>
      </w:tr>
      <w:tr w:rsidR="0001460E" w:rsidRPr="00116559" w14:paraId="342DAFF9" w14:textId="77777777" w:rsidTr="00722A95">
        <w:tc>
          <w:tcPr>
            <w:tcW w:w="851" w:type="dxa"/>
            <w:shd w:val="clear" w:color="auto" w:fill="FFFFFF" w:themeFill="background1"/>
          </w:tcPr>
          <w:p w14:paraId="77EF79E6" w14:textId="77777777" w:rsidR="0001460E" w:rsidRPr="00116559" w:rsidRDefault="0001460E" w:rsidP="00A454A2">
            <w:pPr>
              <w:jc w:val="both"/>
              <w:rPr>
                <w:rFonts w:cstheme="minorHAnsi"/>
              </w:rPr>
            </w:pPr>
          </w:p>
        </w:tc>
        <w:tc>
          <w:tcPr>
            <w:tcW w:w="1701" w:type="dxa"/>
            <w:shd w:val="clear" w:color="auto" w:fill="FFFFFF" w:themeFill="background1"/>
          </w:tcPr>
          <w:p w14:paraId="39245EF9" w14:textId="77777777" w:rsidR="0001460E" w:rsidRPr="00116559" w:rsidRDefault="0001460E" w:rsidP="00A454A2">
            <w:pPr>
              <w:jc w:val="both"/>
              <w:rPr>
                <w:rFonts w:cstheme="minorHAnsi"/>
              </w:rPr>
            </w:pPr>
          </w:p>
        </w:tc>
        <w:tc>
          <w:tcPr>
            <w:tcW w:w="4394" w:type="dxa"/>
            <w:shd w:val="clear" w:color="auto" w:fill="FFFFFF" w:themeFill="background1"/>
          </w:tcPr>
          <w:p w14:paraId="435C3805" w14:textId="77777777" w:rsidR="0001460E" w:rsidRPr="00116559" w:rsidRDefault="0001460E" w:rsidP="00A454A2">
            <w:pPr>
              <w:jc w:val="both"/>
              <w:rPr>
                <w:rFonts w:cstheme="minorHAnsi"/>
              </w:rPr>
            </w:pPr>
          </w:p>
        </w:tc>
        <w:tc>
          <w:tcPr>
            <w:tcW w:w="5670" w:type="dxa"/>
            <w:shd w:val="clear" w:color="auto" w:fill="FFFFFF" w:themeFill="background1"/>
          </w:tcPr>
          <w:p w14:paraId="43DDEF2F" w14:textId="77777777" w:rsidR="0001460E" w:rsidRPr="00116559" w:rsidRDefault="0001460E" w:rsidP="00A454A2">
            <w:pPr>
              <w:jc w:val="both"/>
              <w:rPr>
                <w:rFonts w:cstheme="minorHAnsi"/>
              </w:rPr>
            </w:pPr>
          </w:p>
        </w:tc>
      </w:tr>
      <w:tr w:rsidR="00B36AFB" w:rsidRPr="00116559" w14:paraId="7287A8DD" w14:textId="77777777" w:rsidTr="00722A95">
        <w:tc>
          <w:tcPr>
            <w:tcW w:w="851" w:type="dxa"/>
            <w:shd w:val="clear" w:color="auto" w:fill="FFFFFF" w:themeFill="background1"/>
          </w:tcPr>
          <w:p w14:paraId="2F563D51" w14:textId="22A11042" w:rsidR="00B36AFB" w:rsidRPr="00116559" w:rsidRDefault="003B7626" w:rsidP="00486E62">
            <w:pPr>
              <w:jc w:val="both"/>
              <w:rPr>
                <w:rFonts w:cstheme="minorHAnsi"/>
                <w:b/>
              </w:rPr>
            </w:pPr>
            <w:r w:rsidRPr="00116559">
              <w:rPr>
                <w:rFonts w:cstheme="minorHAnsi"/>
                <w:b/>
              </w:rPr>
              <w:t>3</w:t>
            </w:r>
          </w:p>
        </w:tc>
        <w:tc>
          <w:tcPr>
            <w:tcW w:w="1701" w:type="dxa"/>
            <w:shd w:val="clear" w:color="auto" w:fill="FFFFFF" w:themeFill="background1"/>
          </w:tcPr>
          <w:p w14:paraId="5FF1436A" w14:textId="77777777" w:rsidR="00722A95" w:rsidRPr="00116559" w:rsidRDefault="00B36AFB" w:rsidP="00486E62">
            <w:pPr>
              <w:jc w:val="both"/>
              <w:rPr>
                <w:rFonts w:cstheme="minorHAnsi"/>
                <w:b/>
              </w:rPr>
            </w:pPr>
            <w:r w:rsidRPr="00116559">
              <w:rPr>
                <w:rFonts w:cstheme="minorHAnsi"/>
                <w:b/>
              </w:rPr>
              <w:t>Section 6</w:t>
            </w:r>
          </w:p>
          <w:p w14:paraId="354FA484" w14:textId="45B4222F" w:rsidR="00B36AFB" w:rsidRPr="00116559" w:rsidRDefault="00722A95" w:rsidP="00486E62">
            <w:pPr>
              <w:jc w:val="both"/>
              <w:rPr>
                <w:rFonts w:cstheme="minorHAnsi"/>
                <w:b/>
              </w:rPr>
            </w:pPr>
            <w:r w:rsidRPr="00116559">
              <w:rPr>
                <w:rFonts w:cstheme="minorHAnsi"/>
                <w:b/>
              </w:rPr>
              <w:t>Continuing Obligations</w:t>
            </w:r>
          </w:p>
        </w:tc>
        <w:tc>
          <w:tcPr>
            <w:tcW w:w="4394" w:type="dxa"/>
            <w:shd w:val="clear" w:color="auto" w:fill="FFFFFF" w:themeFill="background1"/>
          </w:tcPr>
          <w:p w14:paraId="0B57CAC2" w14:textId="53463909" w:rsidR="00B36AFB" w:rsidRPr="00116559" w:rsidRDefault="00620A50" w:rsidP="008A0BD2">
            <w:pPr>
              <w:jc w:val="both"/>
              <w:rPr>
                <w:rFonts w:cstheme="minorHAnsi"/>
                <w:b/>
              </w:rPr>
            </w:pPr>
            <w:r w:rsidRPr="00116559">
              <w:rPr>
                <w:rFonts w:cstheme="minorHAnsi"/>
                <w:b/>
              </w:rPr>
              <w:t>Covenants</w:t>
            </w:r>
          </w:p>
          <w:p w14:paraId="7871F238" w14:textId="4C68055D" w:rsidR="00052888" w:rsidRPr="00116559" w:rsidRDefault="00893E12" w:rsidP="008A0BD2">
            <w:pPr>
              <w:jc w:val="both"/>
              <w:rPr>
                <w:rFonts w:cstheme="minorHAnsi"/>
                <w:b/>
              </w:rPr>
            </w:pPr>
            <w:r w:rsidRPr="00116559">
              <w:rPr>
                <w:rFonts w:cstheme="minorHAnsi"/>
                <w:b/>
              </w:rPr>
              <w:t>Paragraph</w:t>
            </w:r>
            <w:r w:rsidR="005F4107" w:rsidRPr="00116559">
              <w:rPr>
                <w:rFonts w:cstheme="minorHAnsi"/>
                <w:b/>
              </w:rPr>
              <w:t xml:space="preserve"> </w:t>
            </w:r>
            <w:r w:rsidRPr="00116559">
              <w:rPr>
                <w:rFonts w:cstheme="minorHAnsi"/>
                <w:b/>
              </w:rPr>
              <w:t xml:space="preserve">6.4 </w:t>
            </w:r>
            <w:r w:rsidR="00052888" w:rsidRPr="00116559">
              <w:rPr>
                <w:rFonts w:cstheme="minorHAnsi"/>
                <w:b/>
              </w:rPr>
              <w:t>–</w:t>
            </w:r>
            <w:r w:rsidRPr="00116559">
              <w:rPr>
                <w:rFonts w:cstheme="minorHAnsi"/>
                <w:b/>
              </w:rPr>
              <w:t xml:space="preserve"> 66</w:t>
            </w:r>
          </w:p>
          <w:p w14:paraId="0A492972" w14:textId="33C7A619" w:rsidR="00B2034D" w:rsidRPr="00116559" w:rsidRDefault="00B2034D" w:rsidP="008A0BD2">
            <w:pPr>
              <w:jc w:val="both"/>
              <w:rPr>
                <w:rFonts w:cstheme="minorHAnsi"/>
                <w:b/>
              </w:rPr>
            </w:pPr>
          </w:p>
          <w:p w14:paraId="0D3BE2F4" w14:textId="611DA70F" w:rsidR="00B2034D" w:rsidRPr="00116559" w:rsidRDefault="00B2034D" w:rsidP="008A0BD2">
            <w:pPr>
              <w:jc w:val="both"/>
              <w:rPr>
                <w:rFonts w:cstheme="minorHAnsi"/>
                <w:bCs/>
              </w:rPr>
            </w:pPr>
            <w:r w:rsidRPr="00116559">
              <w:rPr>
                <w:rFonts w:cstheme="minorHAnsi"/>
                <w:bCs/>
              </w:rPr>
              <w:t>The JSE intends to ame</w:t>
            </w:r>
            <w:r w:rsidR="00CA49C7" w:rsidRPr="00116559">
              <w:rPr>
                <w:rFonts w:cstheme="minorHAnsi"/>
                <w:bCs/>
              </w:rPr>
              <w:t xml:space="preserve">nd the </w:t>
            </w:r>
            <w:r w:rsidR="003F25C0" w:rsidRPr="00116559">
              <w:rPr>
                <w:rFonts w:cstheme="minorHAnsi"/>
                <w:bCs/>
              </w:rPr>
              <w:t xml:space="preserve">Debt </w:t>
            </w:r>
            <w:r w:rsidR="00CA49C7" w:rsidRPr="00116559">
              <w:rPr>
                <w:rFonts w:cstheme="minorHAnsi"/>
                <w:bCs/>
              </w:rPr>
              <w:t>Requirements to clarify the approach and timing</w:t>
            </w:r>
            <w:r w:rsidR="005F4107" w:rsidRPr="00116559">
              <w:rPr>
                <w:rFonts w:cstheme="minorHAnsi"/>
                <w:bCs/>
              </w:rPr>
              <w:t xml:space="preserve"> of covenant testing and the release of the SENS announcement on the</w:t>
            </w:r>
            <w:r w:rsidR="002800B3" w:rsidRPr="00116559">
              <w:rPr>
                <w:rFonts w:cstheme="minorHAnsi"/>
                <w:lang w:eastAsia="en-ZA"/>
              </w:rPr>
              <w:t xml:space="preserve"> covenant level achieved</w:t>
            </w:r>
            <w:r w:rsidR="005F4107" w:rsidRPr="00116559">
              <w:rPr>
                <w:rFonts w:cstheme="minorHAnsi"/>
                <w:bCs/>
              </w:rPr>
              <w:t xml:space="preserve">. </w:t>
            </w:r>
            <w:r w:rsidR="00CA49C7" w:rsidRPr="00116559">
              <w:rPr>
                <w:rFonts w:cstheme="minorHAnsi"/>
                <w:bCs/>
              </w:rPr>
              <w:t xml:space="preserve"> </w:t>
            </w:r>
          </w:p>
          <w:p w14:paraId="747552B2" w14:textId="77777777" w:rsidR="00620A50" w:rsidRPr="00116559" w:rsidRDefault="00620A50" w:rsidP="008A0BD2">
            <w:pPr>
              <w:jc w:val="both"/>
              <w:rPr>
                <w:rFonts w:cstheme="minorHAnsi"/>
                <w:b/>
              </w:rPr>
            </w:pPr>
          </w:p>
          <w:p w14:paraId="53F26495" w14:textId="6533F56B" w:rsidR="002873DA" w:rsidRPr="00116559" w:rsidRDefault="002873DA" w:rsidP="002873DA">
            <w:pPr>
              <w:jc w:val="both"/>
              <w:rPr>
                <w:rFonts w:cstheme="minorHAnsi"/>
                <w:lang w:eastAsia="en-ZA"/>
              </w:rPr>
            </w:pPr>
            <w:r w:rsidRPr="00116559">
              <w:rPr>
                <w:rFonts w:cstheme="minorHAnsi"/>
                <w:lang w:eastAsia="en-ZA"/>
              </w:rPr>
              <w:lastRenderedPageBreak/>
              <w:t>Furthermore, paragraphs 6.5 and 6.6 have been collapsed into</w:t>
            </w:r>
            <w:r w:rsidR="002F5560" w:rsidRPr="00116559">
              <w:rPr>
                <w:rFonts w:cstheme="minorHAnsi"/>
                <w:lang w:eastAsia="en-ZA"/>
              </w:rPr>
              <w:t xml:space="preserve"> one</w:t>
            </w:r>
            <w:r w:rsidRPr="00116559">
              <w:rPr>
                <w:rFonts w:cstheme="minorHAnsi"/>
                <w:lang w:eastAsia="en-ZA"/>
              </w:rPr>
              <w:t xml:space="preserve"> </w:t>
            </w:r>
            <w:r w:rsidR="002F5560" w:rsidRPr="00116559">
              <w:rPr>
                <w:rFonts w:cstheme="minorHAnsi"/>
                <w:lang w:eastAsia="en-ZA"/>
              </w:rPr>
              <w:t xml:space="preserve">paragraph </w:t>
            </w:r>
            <w:r w:rsidR="008766A6" w:rsidRPr="00116559">
              <w:rPr>
                <w:rFonts w:cstheme="minorHAnsi"/>
                <w:lang w:eastAsia="en-ZA"/>
              </w:rPr>
              <w:t>on</w:t>
            </w:r>
            <w:r w:rsidR="002F5560" w:rsidRPr="00116559">
              <w:rPr>
                <w:rFonts w:cstheme="minorHAnsi"/>
                <w:lang w:eastAsia="en-ZA"/>
              </w:rPr>
              <w:t xml:space="preserve"> the basis that the</w:t>
            </w:r>
            <w:r w:rsidR="008766A6" w:rsidRPr="00116559">
              <w:rPr>
                <w:rFonts w:cstheme="minorHAnsi"/>
                <w:lang w:eastAsia="en-ZA"/>
              </w:rPr>
              <w:t>y</w:t>
            </w:r>
            <w:r w:rsidR="002F5560" w:rsidRPr="00116559">
              <w:rPr>
                <w:rFonts w:cstheme="minorHAnsi"/>
                <w:lang w:eastAsia="en-ZA"/>
              </w:rPr>
              <w:t xml:space="preserve"> deal with the same subject matter, where the placing document or pricing supplement </w:t>
            </w:r>
            <w:r w:rsidR="00724347" w:rsidRPr="00116559">
              <w:rPr>
                <w:rFonts w:cstheme="minorHAnsi"/>
                <w:lang w:eastAsia="en-ZA"/>
              </w:rPr>
              <w:t xml:space="preserve">does not </w:t>
            </w:r>
            <w:r w:rsidR="002F5560" w:rsidRPr="00116559">
              <w:rPr>
                <w:rFonts w:cstheme="minorHAnsi"/>
                <w:lang w:eastAsia="en-ZA"/>
              </w:rPr>
              <w:t>deal with</w:t>
            </w:r>
            <w:r w:rsidR="00724347" w:rsidRPr="00116559">
              <w:rPr>
                <w:rFonts w:cstheme="minorHAnsi"/>
                <w:lang w:eastAsia="en-ZA"/>
              </w:rPr>
              <w:t xml:space="preserve"> </w:t>
            </w:r>
            <w:r w:rsidR="002F5560" w:rsidRPr="00116559">
              <w:rPr>
                <w:rFonts w:cstheme="minorHAnsi"/>
                <w:lang w:eastAsia="en-ZA"/>
              </w:rPr>
              <w:t>timelines for covenant testing</w:t>
            </w:r>
            <w:r w:rsidR="00724347" w:rsidRPr="00116559">
              <w:rPr>
                <w:rFonts w:cstheme="minorHAnsi"/>
                <w:lang w:eastAsia="en-ZA"/>
              </w:rPr>
              <w:t>.</w:t>
            </w:r>
            <w:r w:rsidRPr="00116559">
              <w:rPr>
                <w:rFonts w:cstheme="minorHAnsi"/>
                <w:lang w:eastAsia="en-ZA"/>
              </w:rPr>
              <w:t xml:space="preserve">  </w:t>
            </w:r>
          </w:p>
          <w:p w14:paraId="4B6736FE" w14:textId="7D3BA6A7" w:rsidR="002873DA" w:rsidRPr="00116559" w:rsidRDefault="002873DA" w:rsidP="008A0BD2">
            <w:pPr>
              <w:jc w:val="both"/>
              <w:rPr>
                <w:rFonts w:cstheme="minorHAnsi"/>
                <w:b/>
              </w:rPr>
            </w:pPr>
          </w:p>
        </w:tc>
        <w:tc>
          <w:tcPr>
            <w:tcW w:w="5670" w:type="dxa"/>
            <w:shd w:val="clear" w:color="auto" w:fill="FFFFFF" w:themeFill="background1"/>
          </w:tcPr>
          <w:p w14:paraId="039C1334" w14:textId="14B7586F" w:rsidR="00D64AC5" w:rsidRPr="00116559" w:rsidRDefault="00D64AC5" w:rsidP="00486E62">
            <w:pPr>
              <w:jc w:val="both"/>
              <w:rPr>
                <w:rFonts w:cstheme="minorHAnsi"/>
                <w:lang w:eastAsia="en-ZA"/>
              </w:rPr>
            </w:pPr>
            <w:r w:rsidRPr="00116559">
              <w:rPr>
                <w:rFonts w:cstheme="minorHAnsi"/>
                <w:lang w:eastAsia="en-ZA"/>
              </w:rPr>
              <w:lastRenderedPageBreak/>
              <w:t>A placing document or pricing supplement rarely deals with notification timelines on covenant</w:t>
            </w:r>
            <w:r w:rsidR="002800B3" w:rsidRPr="00116559">
              <w:rPr>
                <w:rFonts w:cstheme="minorHAnsi"/>
                <w:lang w:eastAsia="en-ZA"/>
              </w:rPr>
              <w:t xml:space="preserve"> testing</w:t>
            </w:r>
            <w:r w:rsidRPr="00116559">
              <w:rPr>
                <w:rFonts w:cstheme="minorHAnsi"/>
                <w:lang w:eastAsia="en-ZA"/>
              </w:rPr>
              <w:t>, but rather the period within which covenant</w:t>
            </w:r>
            <w:r w:rsidR="008766A6" w:rsidRPr="00116559">
              <w:rPr>
                <w:rFonts w:cstheme="minorHAnsi"/>
                <w:lang w:eastAsia="en-ZA"/>
              </w:rPr>
              <w:t>s</w:t>
            </w:r>
            <w:r w:rsidRPr="00116559">
              <w:rPr>
                <w:rFonts w:cstheme="minorHAnsi"/>
                <w:lang w:eastAsia="en-ZA"/>
              </w:rPr>
              <w:t xml:space="preserve"> must be tested.</w:t>
            </w:r>
          </w:p>
          <w:p w14:paraId="3831A010" w14:textId="77777777" w:rsidR="00D64AC5" w:rsidRPr="00116559" w:rsidRDefault="00D64AC5" w:rsidP="00486E62">
            <w:pPr>
              <w:jc w:val="both"/>
              <w:rPr>
                <w:rFonts w:cstheme="minorHAnsi"/>
                <w:lang w:eastAsia="en-ZA"/>
              </w:rPr>
            </w:pPr>
          </w:p>
          <w:p w14:paraId="492E1F1E" w14:textId="77777777" w:rsidR="006E607A" w:rsidRPr="00116559" w:rsidRDefault="00D64AC5" w:rsidP="00486E62">
            <w:pPr>
              <w:jc w:val="both"/>
              <w:rPr>
                <w:rFonts w:cstheme="minorHAnsi"/>
                <w:lang w:eastAsia="en-ZA"/>
              </w:rPr>
            </w:pPr>
            <w:r w:rsidRPr="00116559">
              <w:rPr>
                <w:rFonts w:cstheme="minorHAnsi"/>
                <w:lang w:eastAsia="en-ZA"/>
              </w:rPr>
              <w:t xml:space="preserve">The JSE aims to clarify the timing of the SENS announcement in scenarios where </w:t>
            </w:r>
            <w:r w:rsidR="008766A6" w:rsidRPr="00116559">
              <w:rPr>
                <w:rFonts w:cstheme="minorHAnsi"/>
                <w:lang w:eastAsia="en-ZA"/>
              </w:rPr>
              <w:t xml:space="preserve">(i) </w:t>
            </w:r>
            <w:r w:rsidRPr="00116559">
              <w:rPr>
                <w:rFonts w:cstheme="minorHAnsi"/>
                <w:lang w:eastAsia="en-ZA"/>
              </w:rPr>
              <w:t xml:space="preserve">the placing document or pricing supplement deals with the timelines for </w:t>
            </w:r>
            <w:r w:rsidR="00490FD2" w:rsidRPr="00116559">
              <w:rPr>
                <w:rFonts w:cstheme="minorHAnsi"/>
                <w:lang w:eastAsia="en-ZA"/>
              </w:rPr>
              <w:t>covenant</w:t>
            </w:r>
            <w:r w:rsidRPr="00116559">
              <w:rPr>
                <w:rFonts w:cstheme="minorHAnsi"/>
                <w:lang w:eastAsia="en-ZA"/>
              </w:rPr>
              <w:t xml:space="preserve"> testing, and </w:t>
            </w:r>
            <w:r w:rsidR="008766A6" w:rsidRPr="00116559">
              <w:rPr>
                <w:rFonts w:cstheme="minorHAnsi"/>
                <w:lang w:eastAsia="en-ZA"/>
              </w:rPr>
              <w:t xml:space="preserve">(ii) </w:t>
            </w:r>
            <w:proofErr w:type="gramStart"/>
            <w:r w:rsidRPr="00116559">
              <w:rPr>
                <w:rFonts w:cstheme="minorHAnsi"/>
                <w:lang w:eastAsia="en-ZA"/>
              </w:rPr>
              <w:t>whe</w:t>
            </w:r>
            <w:r w:rsidR="008766A6" w:rsidRPr="00116559">
              <w:rPr>
                <w:rFonts w:cstheme="minorHAnsi"/>
                <w:lang w:eastAsia="en-ZA"/>
              </w:rPr>
              <w:t>re</w:t>
            </w:r>
            <w:proofErr w:type="gramEnd"/>
            <w:r w:rsidRPr="00116559">
              <w:rPr>
                <w:rFonts w:cstheme="minorHAnsi"/>
                <w:lang w:eastAsia="en-ZA"/>
              </w:rPr>
              <w:t xml:space="preserve"> not. </w:t>
            </w:r>
          </w:p>
          <w:p w14:paraId="288DDD17" w14:textId="77777777" w:rsidR="006E607A" w:rsidRPr="00116559" w:rsidRDefault="006E607A" w:rsidP="00486E62">
            <w:pPr>
              <w:jc w:val="both"/>
              <w:rPr>
                <w:rFonts w:cstheme="minorHAnsi"/>
                <w:lang w:eastAsia="en-ZA"/>
              </w:rPr>
            </w:pPr>
          </w:p>
          <w:p w14:paraId="0D499C9D" w14:textId="2D0A28CF" w:rsidR="00B36AFB" w:rsidRPr="00116559" w:rsidRDefault="00490FD2" w:rsidP="00486E62">
            <w:pPr>
              <w:jc w:val="both"/>
              <w:rPr>
                <w:rFonts w:cstheme="minorHAnsi"/>
                <w:lang w:eastAsia="en-ZA"/>
              </w:rPr>
            </w:pPr>
            <w:r w:rsidRPr="00116559">
              <w:rPr>
                <w:rFonts w:cstheme="minorHAnsi"/>
                <w:lang w:eastAsia="en-ZA"/>
              </w:rPr>
              <w:lastRenderedPageBreak/>
              <w:t>In both circumstances</w:t>
            </w:r>
            <w:r w:rsidR="00FF214F" w:rsidRPr="00116559">
              <w:rPr>
                <w:rFonts w:cstheme="minorHAnsi"/>
                <w:lang w:eastAsia="en-ZA"/>
              </w:rPr>
              <w:t>,</w:t>
            </w:r>
            <w:r w:rsidRPr="00116559">
              <w:rPr>
                <w:rFonts w:cstheme="minorHAnsi"/>
                <w:lang w:eastAsia="en-ZA"/>
              </w:rPr>
              <w:t xml:space="preserve"> the </w:t>
            </w:r>
            <w:r w:rsidR="00FF214F" w:rsidRPr="00116559">
              <w:rPr>
                <w:rFonts w:cstheme="minorHAnsi"/>
                <w:lang w:eastAsia="en-ZA"/>
              </w:rPr>
              <w:t>covenant</w:t>
            </w:r>
            <w:r w:rsidR="00831312" w:rsidRPr="00116559">
              <w:rPr>
                <w:rFonts w:cstheme="minorHAnsi"/>
                <w:lang w:eastAsia="en-ZA"/>
              </w:rPr>
              <w:t xml:space="preserve"> </w:t>
            </w:r>
            <w:r w:rsidR="002800B3" w:rsidRPr="00116559">
              <w:rPr>
                <w:rFonts w:cstheme="minorHAnsi"/>
                <w:lang w:eastAsia="en-ZA"/>
              </w:rPr>
              <w:t>level</w:t>
            </w:r>
            <w:r w:rsidR="00FF214F" w:rsidRPr="00116559">
              <w:rPr>
                <w:rFonts w:cstheme="minorHAnsi"/>
                <w:lang w:eastAsia="en-ZA"/>
              </w:rPr>
              <w:t xml:space="preserve"> achieved </w:t>
            </w:r>
            <w:r w:rsidR="006E607A" w:rsidRPr="00116559">
              <w:rPr>
                <w:rFonts w:cstheme="minorHAnsi"/>
                <w:lang w:eastAsia="en-ZA"/>
              </w:rPr>
              <w:t xml:space="preserve">must </w:t>
            </w:r>
            <w:r w:rsidRPr="00116559">
              <w:rPr>
                <w:rFonts w:cstheme="minorHAnsi"/>
                <w:lang w:eastAsia="en-ZA"/>
              </w:rPr>
              <w:t>be announced</w:t>
            </w:r>
            <w:r w:rsidR="00831312" w:rsidRPr="00116559">
              <w:rPr>
                <w:rFonts w:cstheme="minorHAnsi"/>
                <w:lang w:eastAsia="en-ZA"/>
              </w:rPr>
              <w:t xml:space="preserve"> </w:t>
            </w:r>
            <w:r w:rsidRPr="00116559">
              <w:rPr>
                <w:rFonts w:cstheme="minorHAnsi"/>
                <w:lang w:eastAsia="en-ZA"/>
              </w:rPr>
              <w:t xml:space="preserve">on SENS. However, where no timelines for covenant testing are specified in the placing document or pricing supplement, </w:t>
            </w:r>
            <w:r w:rsidR="00554091" w:rsidRPr="00116559">
              <w:rPr>
                <w:rFonts w:cstheme="minorHAnsi"/>
                <w:lang w:eastAsia="en-ZA"/>
              </w:rPr>
              <w:t xml:space="preserve">such </w:t>
            </w:r>
            <w:r w:rsidR="004D49AA" w:rsidRPr="00116559">
              <w:rPr>
                <w:rFonts w:cstheme="minorHAnsi"/>
                <w:lang w:eastAsia="en-ZA"/>
              </w:rPr>
              <w:t>testing</w:t>
            </w:r>
            <w:r w:rsidR="00554091" w:rsidRPr="00116559">
              <w:rPr>
                <w:rFonts w:cstheme="minorHAnsi"/>
                <w:lang w:eastAsia="en-ZA"/>
              </w:rPr>
              <w:t xml:space="preserve"> </w:t>
            </w:r>
            <w:r w:rsidRPr="00116559">
              <w:rPr>
                <w:rFonts w:cstheme="minorHAnsi"/>
                <w:lang w:eastAsia="en-ZA"/>
              </w:rPr>
              <w:t xml:space="preserve">can only </w:t>
            </w:r>
            <w:r w:rsidR="00421665" w:rsidRPr="00116559">
              <w:rPr>
                <w:rFonts w:cstheme="minorHAnsi"/>
                <w:lang w:eastAsia="en-ZA"/>
              </w:rPr>
              <w:t>be undertaken</w:t>
            </w:r>
            <w:r w:rsidRPr="00116559">
              <w:rPr>
                <w:rFonts w:cstheme="minorHAnsi"/>
                <w:lang w:eastAsia="en-ZA"/>
              </w:rPr>
              <w:t xml:space="preserve"> once the annual financial statement</w:t>
            </w:r>
            <w:r w:rsidR="00554091" w:rsidRPr="00116559">
              <w:rPr>
                <w:rFonts w:cstheme="minorHAnsi"/>
                <w:lang w:eastAsia="en-ZA"/>
              </w:rPr>
              <w:t>s</w:t>
            </w:r>
            <w:r w:rsidRPr="00116559">
              <w:rPr>
                <w:rFonts w:cstheme="minorHAnsi"/>
                <w:lang w:eastAsia="en-ZA"/>
              </w:rPr>
              <w:t xml:space="preserve"> or interim results have been released. </w:t>
            </w:r>
          </w:p>
          <w:p w14:paraId="614C5175" w14:textId="47DDDE8E" w:rsidR="002873DA" w:rsidRPr="00116559" w:rsidRDefault="002873DA" w:rsidP="00486E62">
            <w:pPr>
              <w:jc w:val="both"/>
              <w:rPr>
                <w:rFonts w:cstheme="minorHAnsi"/>
                <w:lang w:eastAsia="en-ZA"/>
              </w:rPr>
            </w:pPr>
          </w:p>
          <w:p w14:paraId="7EA3F1FE" w14:textId="4C4EFCEB" w:rsidR="00706CB3" w:rsidRPr="00116559" w:rsidRDefault="00706CB3" w:rsidP="008E34CD">
            <w:pPr>
              <w:jc w:val="both"/>
              <w:rPr>
                <w:rFonts w:cstheme="minorHAnsi"/>
              </w:rPr>
            </w:pPr>
          </w:p>
        </w:tc>
      </w:tr>
      <w:tr w:rsidR="00B36AFB" w:rsidRPr="00116559" w14:paraId="289C3AEE" w14:textId="77777777" w:rsidTr="00722A95">
        <w:tc>
          <w:tcPr>
            <w:tcW w:w="851" w:type="dxa"/>
            <w:shd w:val="clear" w:color="auto" w:fill="FFFFFF" w:themeFill="background1"/>
          </w:tcPr>
          <w:p w14:paraId="1DF0994F" w14:textId="27925FE4" w:rsidR="00B36AFB" w:rsidRPr="00116559" w:rsidRDefault="00F10369" w:rsidP="00486E62">
            <w:pPr>
              <w:jc w:val="both"/>
              <w:rPr>
                <w:rFonts w:cstheme="minorHAnsi"/>
                <w:b/>
              </w:rPr>
            </w:pPr>
            <w:r w:rsidRPr="00116559">
              <w:rPr>
                <w:rFonts w:cstheme="minorHAnsi"/>
                <w:b/>
              </w:rPr>
              <w:lastRenderedPageBreak/>
              <w:t>4</w:t>
            </w:r>
          </w:p>
        </w:tc>
        <w:tc>
          <w:tcPr>
            <w:tcW w:w="1701" w:type="dxa"/>
            <w:shd w:val="clear" w:color="auto" w:fill="FFFFFF" w:themeFill="background1"/>
          </w:tcPr>
          <w:p w14:paraId="4D20E2F5" w14:textId="77777777" w:rsidR="00B36AFB" w:rsidRPr="00116559" w:rsidRDefault="00B86FEB" w:rsidP="00486E62">
            <w:pPr>
              <w:jc w:val="both"/>
              <w:rPr>
                <w:rFonts w:cstheme="minorHAnsi"/>
                <w:b/>
              </w:rPr>
            </w:pPr>
            <w:r w:rsidRPr="00116559">
              <w:rPr>
                <w:rFonts w:cstheme="minorHAnsi"/>
                <w:b/>
              </w:rPr>
              <w:t>Section 5</w:t>
            </w:r>
          </w:p>
          <w:p w14:paraId="17E9CC58" w14:textId="77777777" w:rsidR="00B86FEB" w:rsidRPr="00116559" w:rsidRDefault="00B86FEB" w:rsidP="00486E62">
            <w:pPr>
              <w:jc w:val="both"/>
              <w:rPr>
                <w:rFonts w:cstheme="minorHAnsi"/>
                <w:b/>
              </w:rPr>
            </w:pPr>
            <w:r w:rsidRPr="00116559">
              <w:rPr>
                <w:rFonts w:cstheme="minorHAnsi"/>
                <w:b/>
              </w:rPr>
              <w:t>Financial Information</w:t>
            </w:r>
          </w:p>
          <w:p w14:paraId="67E95084" w14:textId="7C7E64B1" w:rsidR="00B86FEB" w:rsidRPr="00116559" w:rsidRDefault="00B86FEB" w:rsidP="00486E62">
            <w:pPr>
              <w:jc w:val="both"/>
              <w:rPr>
                <w:rFonts w:cstheme="minorHAnsi"/>
                <w:b/>
              </w:rPr>
            </w:pPr>
          </w:p>
        </w:tc>
        <w:tc>
          <w:tcPr>
            <w:tcW w:w="4394" w:type="dxa"/>
            <w:shd w:val="clear" w:color="auto" w:fill="FFFFFF" w:themeFill="background1"/>
          </w:tcPr>
          <w:p w14:paraId="6A16D512" w14:textId="5A002927" w:rsidR="00B36AFB" w:rsidRPr="00116559" w:rsidRDefault="00B86FEB" w:rsidP="00D47342">
            <w:pPr>
              <w:jc w:val="both"/>
              <w:rPr>
                <w:rFonts w:cstheme="minorHAnsi"/>
                <w:b/>
              </w:rPr>
            </w:pPr>
            <w:r w:rsidRPr="00116559">
              <w:rPr>
                <w:rFonts w:cstheme="minorHAnsi"/>
                <w:b/>
              </w:rPr>
              <w:t>Annotations</w:t>
            </w:r>
          </w:p>
          <w:p w14:paraId="5337B4D4" w14:textId="2DE23C6E" w:rsidR="008C7088" w:rsidRPr="00116559" w:rsidRDefault="00252A18" w:rsidP="00D47342">
            <w:pPr>
              <w:jc w:val="both"/>
              <w:rPr>
                <w:rFonts w:cstheme="minorHAnsi"/>
                <w:b/>
              </w:rPr>
            </w:pPr>
            <w:r w:rsidRPr="00116559">
              <w:rPr>
                <w:rFonts w:cstheme="minorHAnsi"/>
                <w:b/>
              </w:rPr>
              <w:t>P</w:t>
            </w:r>
            <w:r w:rsidR="008C7088" w:rsidRPr="00116559">
              <w:rPr>
                <w:rFonts w:cstheme="minorHAnsi"/>
                <w:b/>
              </w:rPr>
              <w:t>aragraph</w:t>
            </w:r>
            <w:r w:rsidRPr="00116559">
              <w:rPr>
                <w:rFonts w:cstheme="minorHAnsi"/>
                <w:b/>
              </w:rPr>
              <w:t>s</w:t>
            </w:r>
            <w:r w:rsidR="008C7088" w:rsidRPr="00116559">
              <w:rPr>
                <w:rFonts w:cstheme="minorHAnsi"/>
                <w:b/>
              </w:rPr>
              <w:t xml:space="preserve"> </w:t>
            </w:r>
            <w:r w:rsidRPr="00116559">
              <w:rPr>
                <w:rFonts w:cstheme="minorHAnsi"/>
                <w:b/>
              </w:rPr>
              <w:t>6</w:t>
            </w:r>
            <w:r w:rsidR="008C7088" w:rsidRPr="00116559">
              <w:rPr>
                <w:rFonts w:cstheme="minorHAnsi"/>
                <w:b/>
              </w:rPr>
              <w:t>.</w:t>
            </w:r>
            <w:r w:rsidR="00C817DF" w:rsidRPr="00116559">
              <w:rPr>
                <w:rFonts w:cstheme="minorHAnsi"/>
                <w:b/>
              </w:rPr>
              <w:t>18</w:t>
            </w:r>
            <w:r w:rsidRPr="00116559">
              <w:rPr>
                <w:rFonts w:cstheme="minorHAnsi"/>
                <w:b/>
              </w:rPr>
              <w:t xml:space="preserve"> and 6.20</w:t>
            </w:r>
            <w:r w:rsidR="00C817DF" w:rsidRPr="00116559">
              <w:rPr>
                <w:rFonts w:cstheme="minorHAnsi"/>
                <w:b/>
              </w:rPr>
              <w:t xml:space="preserve"> </w:t>
            </w:r>
          </w:p>
          <w:p w14:paraId="37DA2D96" w14:textId="4813A4DD" w:rsidR="00B86FEB" w:rsidRPr="00116559" w:rsidRDefault="00B86FEB" w:rsidP="00D47342">
            <w:pPr>
              <w:jc w:val="both"/>
              <w:rPr>
                <w:rFonts w:cstheme="minorHAnsi"/>
                <w:b/>
              </w:rPr>
            </w:pPr>
          </w:p>
          <w:p w14:paraId="02599F5A" w14:textId="26DC5BBD" w:rsidR="00B86FEB" w:rsidRPr="00116559" w:rsidRDefault="00B86FEB" w:rsidP="00B86FEB">
            <w:pPr>
              <w:jc w:val="both"/>
              <w:rPr>
                <w:rFonts w:cstheme="minorHAnsi"/>
                <w:bCs/>
              </w:rPr>
            </w:pPr>
            <w:r w:rsidRPr="00116559">
              <w:rPr>
                <w:rFonts w:cstheme="minorHAnsi"/>
                <w:bCs/>
              </w:rPr>
              <w:t xml:space="preserve">The JSE intends to amend the </w:t>
            </w:r>
            <w:r w:rsidR="00280B39" w:rsidRPr="00116559">
              <w:rPr>
                <w:rFonts w:cstheme="minorHAnsi"/>
                <w:bCs/>
              </w:rPr>
              <w:t xml:space="preserve">Debt </w:t>
            </w:r>
            <w:r w:rsidRPr="00116559">
              <w:rPr>
                <w:rFonts w:cstheme="minorHAnsi"/>
                <w:bCs/>
              </w:rPr>
              <w:t>Requirements to</w:t>
            </w:r>
            <w:r w:rsidR="00C817DF" w:rsidRPr="00116559">
              <w:rPr>
                <w:rFonts w:cstheme="minorHAnsi"/>
                <w:bCs/>
              </w:rPr>
              <w:t xml:space="preserve"> mirror the </w:t>
            </w:r>
            <w:r w:rsidR="004800BF" w:rsidRPr="00116559">
              <w:rPr>
                <w:rFonts w:cstheme="minorHAnsi"/>
                <w:bCs/>
              </w:rPr>
              <w:t xml:space="preserve">annotations </w:t>
            </w:r>
            <w:r w:rsidR="00C817DF" w:rsidRPr="00116559">
              <w:rPr>
                <w:rFonts w:cstheme="minorHAnsi"/>
                <w:bCs/>
              </w:rPr>
              <w:t>approach</w:t>
            </w:r>
            <w:r w:rsidR="00280B39" w:rsidRPr="00116559">
              <w:rPr>
                <w:rFonts w:cstheme="minorHAnsi"/>
                <w:bCs/>
              </w:rPr>
              <w:t xml:space="preserve"> in the JSE Listings Requirements,</w:t>
            </w:r>
            <w:r w:rsidR="00987C67" w:rsidRPr="00116559">
              <w:rPr>
                <w:rFonts w:cstheme="minorHAnsi"/>
                <w:bCs/>
              </w:rPr>
              <w:t xml:space="preserve"> </w:t>
            </w:r>
            <w:r w:rsidR="004800BF" w:rsidRPr="00116559">
              <w:rPr>
                <w:rFonts w:cstheme="minorHAnsi"/>
                <w:bCs/>
              </w:rPr>
              <w:t>dealing with</w:t>
            </w:r>
            <w:r w:rsidR="00987C67" w:rsidRPr="00116559">
              <w:rPr>
                <w:rFonts w:cstheme="minorHAnsi"/>
                <w:bCs/>
              </w:rPr>
              <w:t xml:space="preserve"> procedures f</w:t>
            </w:r>
            <w:r w:rsidR="004800BF" w:rsidRPr="00116559">
              <w:rPr>
                <w:rFonts w:cstheme="minorHAnsi"/>
                <w:bCs/>
              </w:rPr>
              <w:t>or</w:t>
            </w:r>
            <w:r w:rsidR="00987C67" w:rsidRPr="00116559">
              <w:rPr>
                <w:rFonts w:cstheme="minorHAnsi"/>
                <w:bCs/>
              </w:rPr>
              <w:t xml:space="preserve"> non-compliance in respect of annual financial statements and interim financial statements</w:t>
            </w:r>
            <w:r w:rsidR="00037A3D" w:rsidRPr="00116559">
              <w:rPr>
                <w:rFonts w:cstheme="minorHAnsi"/>
                <w:bCs/>
              </w:rPr>
              <w:t>.</w:t>
            </w:r>
            <w:r w:rsidRPr="00116559">
              <w:rPr>
                <w:rFonts w:cstheme="minorHAnsi"/>
                <w:bCs/>
              </w:rPr>
              <w:t xml:space="preserve">  </w:t>
            </w:r>
          </w:p>
          <w:p w14:paraId="7CC2CF89" w14:textId="6D22C61A" w:rsidR="00B36AFB" w:rsidRPr="00116559" w:rsidRDefault="00B36AFB" w:rsidP="00D47342">
            <w:pPr>
              <w:jc w:val="both"/>
              <w:rPr>
                <w:rFonts w:cstheme="minorHAnsi"/>
                <w:b/>
              </w:rPr>
            </w:pPr>
          </w:p>
        </w:tc>
        <w:tc>
          <w:tcPr>
            <w:tcW w:w="5670" w:type="dxa"/>
            <w:shd w:val="clear" w:color="auto" w:fill="FFFFFF" w:themeFill="background1"/>
          </w:tcPr>
          <w:p w14:paraId="58A0B713" w14:textId="6EB833A1" w:rsidR="00B36AFB" w:rsidRPr="00116559" w:rsidRDefault="00296B03" w:rsidP="00486E62">
            <w:pPr>
              <w:jc w:val="both"/>
              <w:rPr>
                <w:rFonts w:cstheme="minorHAnsi"/>
              </w:rPr>
            </w:pPr>
            <w:r w:rsidRPr="00116559">
              <w:rPr>
                <w:rFonts w:cstheme="minorHAnsi"/>
              </w:rPr>
              <w:t xml:space="preserve">It the interest of investor protection and affording investors </w:t>
            </w:r>
            <w:r w:rsidR="00280B39" w:rsidRPr="00116559">
              <w:rPr>
                <w:rFonts w:cstheme="minorHAnsi"/>
              </w:rPr>
              <w:t xml:space="preserve">the ability to </w:t>
            </w:r>
            <w:r w:rsidRPr="00116559">
              <w:rPr>
                <w:rFonts w:cstheme="minorHAnsi"/>
              </w:rPr>
              <w:t xml:space="preserve">make an </w:t>
            </w:r>
            <w:r w:rsidR="00280B39" w:rsidRPr="00116559">
              <w:rPr>
                <w:rFonts w:cstheme="minorHAnsi"/>
              </w:rPr>
              <w:t>informed investment decision</w:t>
            </w:r>
            <w:r w:rsidRPr="00116559">
              <w:rPr>
                <w:rFonts w:cstheme="minorHAnsi"/>
              </w:rPr>
              <w:t xml:space="preserve">, </w:t>
            </w:r>
            <w:r w:rsidR="00F4252D" w:rsidRPr="00116559">
              <w:rPr>
                <w:rFonts w:cstheme="minorHAnsi"/>
              </w:rPr>
              <w:t>annotations are vital warning indicators for the market</w:t>
            </w:r>
          </w:p>
        </w:tc>
      </w:tr>
      <w:tr w:rsidR="00DD257E" w:rsidRPr="00116559" w14:paraId="4B1FAABF" w14:textId="77777777" w:rsidTr="00722A95">
        <w:tc>
          <w:tcPr>
            <w:tcW w:w="851" w:type="dxa"/>
            <w:shd w:val="clear" w:color="auto" w:fill="FFFFFF" w:themeFill="background1"/>
          </w:tcPr>
          <w:p w14:paraId="10703B48" w14:textId="77777777" w:rsidR="00DD257E" w:rsidRPr="00116559" w:rsidRDefault="00DD257E" w:rsidP="00486E62">
            <w:pPr>
              <w:jc w:val="both"/>
              <w:rPr>
                <w:rFonts w:cstheme="minorHAnsi"/>
                <w:b/>
              </w:rPr>
            </w:pPr>
          </w:p>
        </w:tc>
        <w:tc>
          <w:tcPr>
            <w:tcW w:w="1701" w:type="dxa"/>
            <w:shd w:val="clear" w:color="auto" w:fill="FFFFFF" w:themeFill="background1"/>
          </w:tcPr>
          <w:p w14:paraId="3C9EE6B7" w14:textId="77777777" w:rsidR="00DD257E" w:rsidRPr="00116559" w:rsidRDefault="00DD257E" w:rsidP="00486E62">
            <w:pPr>
              <w:jc w:val="both"/>
              <w:rPr>
                <w:rFonts w:cstheme="minorHAnsi"/>
                <w:b/>
              </w:rPr>
            </w:pPr>
          </w:p>
        </w:tc>
        <w:tc>
          <w:tcPr>
            <w:tcW w:w="4394" w:type="dxa"/>
            <w:shd w:val="clear" w:color="auto" w:fill="FFFFFF" w:themeFill="background1"/>
          </w:tcPr>
          <w:p w14:paraId="3705BEBE" w14:textId="77777777" w:rsidR="00DD257E" w:rsidRPr="00116559" w:rsidRDefault="00DD257E" w:rsidP="00D47342">
            <w:pPr>
              <w:jc w:val="both"/>
              <w:rPr>
                <w:rFonts w:cstheme="minorHAnsi"/>
                <w:b/>
              </w:rPr>
            </w:pPr>
          </w:p>
        </w:tc>
        <w:tc>
          <w:tcPr>
            <w:tcW w:w="5670" w:type="dxa"/>
            <w:shd w:val="clear" w:color="auto" w:fill="FFFFFF" w:themeFill="background1"/>
          </w:tcPr>
          <w:p w14:paraId="727344B4" w14:textId="77777777" w:rsidR="00DD257E" w:rsidRPr="00116559" w:rsidRDefault="00DD257E" w:rsidP="00486E62">
            <w:pPr>
              <w:jc w:val="both"/>
              <w:rPr>
                <w:rFonts w:cstheme="minorHAnsi"/>
              </w:rPr>
            </w:pPr>
          </w:p>
        </w:tc>
      </w:tr>
      <w:tr w:rsidR="00F60626" w:rsidRPr="00116559" w14:paraId="6D03705E" w14:textId="77777777" w:rsidTr="00722A95">
        <w:tc>
          <w:tcPr>
            <w:tcW w:w="851" w:type="dxa"/>
            <w:shd w:val="clear" w:color="auto" w:fill="FFFFFF" w:themeFill="background1"/>
          </w:tcPr>
          <w:p w14:paraId="35EE02FD" w14:textId="09FA000F" w:rsidR="00F60626" w:rsidRPr="00116559" w:rsidRDefault="00FE0FE2" w:rsidP="00486E62">
            <w:pPr>
              <w:jc w:val="both"/>
              <w:rPr>
                <w:rFonts w:cstheme="minorHAnsi"/>
                <w:b/>
              </w:rPr>
            </w:pPr>
            <w:r w:rsidRPr="00116559">
              <w:rPr>
                <w:rFonts w:cstheme="minorHAnsi"/>
                <w:b/>
              </w:rPr>
              <w:t>5</w:t>
            </w:r>
          </w:p>
        </w:tc>
        <w:tc>
          <w:tcPr>
            <w:tcW w:w="1701" w:type="dxa"/>
            <w:shd w:val="clear" w:color="auto" w:fill="FFFFFF" w:themeFill="background1"/>
          </w:tcPr>
          <w:p w14:paraId="334607C0" w14:textId="70A3490B" w:rsidR="00F60626" w:rsidRPr="00116559" w:rsidRDefault="00F60626" w:rsidP="00F60626">
            <w:pPr>
              <w:jc w:val="both"/>
              <w:rPr>
                <w:rFonts w:cstheme="minorHAnsi"/>
                <w:b/>
              </w:rPr>
            </w:pPr>
            <w:r w:rsidRPr="00116559">
              <w:rPr>
                <w:rFonts w:cstheme="minorHAnsi"/>
                <w:b/>
              </w:rPr>
              <w:t xml:space="preserve">Section </w:t>
            </w:r>
            <w:r w:rsidR="004A6FE2" w:rsidRPr="00116559">
              <w:rPr>
                <w:rFonts w:cstheme="minorHAnsi"/>
                <w:b/>
              </w:rPr>
              <w:t>6</w:t>
            </w:r>
          </w:p>
          <w:p w14:paraId="20A420B3" w14:textId="77777777" w:rsidR="00F60626" w:rsidRPr="00116559" w:rsidRDefault="00F60626" w:rsidP="00F60626">
            <w:pPr>
              <w:jc w:val="both"/>
              <w:rPr>
                <w:rFonts w:cstheme="minorHAnsi"/>
                <w:b/>
              </w:rPr>
            </w:pPr>
            <w:r w:rsidRPr="00116559">
              <w:rPr>
                <w:rFonts w:cstheme="minorHAnsi"/>
                <w:b/>
              </w:rPr>
              <w:t>Continuing Obligations</w:t>
            </w:r>
          </w:p>
          <w:p w14:paraId="06F583AC" w14:textId="77777777" w:rsidR="00F60626" w:rsidRPr="00116559" w:rsidRDefault="00F60626" w:rsidP="00486E62">
            <w:pPr>
              <w:jc w:val="both"/>
              <w:rPr>
                <w:rFonts w:cstheme="minorHAnsi"/>
                <w:b/>
              </w:rPr>
            </w:pPr>
          </w:p>
        </w:tc>
        <w:tc>
          <w:tcPr>
            <w:tcW w:w="4394" w:type="dxa"/>
            <w:shd w:val="clear" w:color="auto" w:fill="FFFFFF" w:themeFill="background1"/>
          </w:tcPr>
          <w:p w14:paraId="4ABEF65E" w14:textId="50FEF5AD" w:rsidR="001D2C61" w:rsidRPr="00116559" w:rsidRDefault="00F60626" w:rsidP="00F01852">
            <w:pPr>
              <w:jc w:val="both"/>
              <w:rPr>
                <w:rFonts w:cstheme="minorHAnsi"/>
                <w:b/>
              </w:rPr>
            </w:pPr>
            <w:r w:rsidRPr="00116559">
              <w:rPr>
                <w:rFonts w:cstheme="minorHAnsi"/>
                <w:b/>
              </w:rPr>
              <w:t>Financial statements</w:t>
            </w:r>
            <w:r w:rsidR="00F01852" w:rsidRPr="00116559">
              <w:rPr>
                <w:rFonts w:cstheme="minorHAnsi"/>
                <w:b/>
              </w:rPr>
              <w:t xml:space="preserve">: </w:t>
            </w:r>
            <w:r w:rsidR="001D2C61" w:rsidRPr="00116559">
              <w:rPr>
                <w:rFonts w:cstheme="minorHAnsi"/>
                <w:b/>
              </w:rPr>
              <w:t xml:space="preserve">Powers to suspend and remove a listing </w:t>
            </w:r>
          </w:p>
          <w:p w14:paraId="6023CF8D" w14:textId="58DE4F07" w:rsidR="00F01852" w:rsidRPr="00116559" w:rsidRDefault="00F01852" w:rsidP="00F01852">
            <w:pPr>
              <w:jc w:val="both"/>
              <w:rPr>
                <w:rFonts w:cstheme="minorHAnsi"/>
              </w:rPr>
            </w:pPr>
          </w:p>
          <w:p w14:paraId="5B3E8754" w14:textId="181FA91D" w:rsidR="00F01852" w:rsidRPr="00116559" w:rsidRDefault="00F01852" w:rsidP="00F01852">
            <w:pPr>
              <w:jc w:val="both"/>
              <w:rPr>
                <w:rFonts w:cstheme="minorHAnsi"/>
                <w:b/>
              </w:rPr>
            </w:pPr>
            <w:r w:rsidRPr="00116559">
              <w:rPr>
                <w:rFonts w:cstheme="minorHAnsi"/>
                <w:b/>
              </w:rPr>
              <w:t>Paragraphs 6.18 and 16.20</w:t>
            </w:r>
          </w:p>
          <w:p w14:paraId="638AB494" w14:textId="77777777" w:rsidR="00F01852" w:rsidRPr="00116559" w:rsidRDefault="00F01852" w:rsidP="00F01852">
            <w:pPr>
              <w:jc w:val="both"/>
              <w:rPr>
                <w:rFonts w:cstheme="minorHAnsi"/>
              </w:rPr>
            </w:pPr>
          </w:p>
          <w:p w14:paraId="54014D91" w14:textId="6DBBCB73" w:rsidR="00B776EA" w:rsidRPr="00116559" w:rsidRDefault="0032115F" w:rsidP="00F60626">
            <w:pPr>
              <w:jc w:val="both"/>
              <w:rPr>
                <w:rFonts w:cstheme="minorHAnsi"/>
                <w:bCs/>
              </w:rPr>
            </w:pPr>
            <w:r w:rsidRPr="00116559">
              <w:rPr>
                <w:rFonts w:cstheme="minorHAnsi"/>
                <w:bCs/>
              </w:rPr>
              <w:t xml:space="preserve">The JSE intends to amend the </w:t>
            </w:r>
            <w:r w:rsidR="00EF4F69" w:rsidRPr="00116559">
              <w:rPr>
                <w:rFonts w:cstheme="minorHAnsi"/>
                <w:bCs/>
              </w:rPr>
              <w:t xml:space="preserve">Debt </w:t>
            </w:r>
            <w:r w:rsidRPr="00116559">
              <w:rPr>
                <w:rFonts w:cstheme="minorHAnsi"/>
                <w:bCs/>
              </w:rPr>
              <w:t>Requirements to clarify that an</w:t>
            </w:r>
            <w:r w:rsidR="00B776EA" w:rsidRPr="00116559">
              <w:rPr>
                <w:rFonts w:cstheme="minorHAnsi"/>
                <w:bCs/>
              </w:rPr>
              <w:t>y</w:t>
            </w:r>
            <w:r w:rsidRPr="00116559">
              <w:rPr>
                <w:rFonts w:cstheme="minorHAnsi"/>
                <w:bCs/>
              </w:rPr>
              <w:t xml:space="preserve"> powers of suspension and/or removal of listing will be subject to the </w:t>
            </w:r>
            <w:r w:rsidR="00B776EA" w:rsidRPr="00116559">
              <w:rPr>
                <w:rFonts w:cstheme="minorHAnsi"/>
                <w:bCs/>
              </w:rPr>
              <w:t>provisions</w:t>
            </w:r>
            <w:r w:rsidRPr="00116559">
              <w:rPr>
                <w:rFonts w:cstheme="minorHAnsi"/>
                <w:bCs/>
              </w:rPr>
              <w:t xml:space="preserve"> of Section 1</w:t>
            </w:r>
            <w:r w:rsidR="00EF4F69" w:rsidRPr="00116559">
              <w:rPr>
                <w:rFonts w:cstheme="minorHAnsi"/>
                <w:bCs/>
              </w:rPr>
              <w:t xml:space="preserve"> of the Debt </w:t>
            </w:r>
            <w:r w:rsidR="00F01852" w:rsidRPr="00116559">
              <w:rPr>
                <w:rFonts w:cstheme="minorHAnsi"/>
                <w:bCs/>
              </w:rPr>
              <w:t>Requirements</w:t>
            </w:r>
            <w:r w:rsidR="00B776EA" w:rsidRPr="00116559">
              <w:rPr>
                <w:rFonts w:cstheme="minorHAnsi"/>
                <w:bCs/>
              </w:rPr>
              <w:t>.</w:t>
            </w:r>
          </w:p>
          <w:p w14:paraId="6B5142ED" w14:textId="0AD41A35" w:rsidR="00F60626" w:rsidRDefault="00F60626" w:rsidP="00D47342">
            <w:pPr>
              <w:jc w:val="both"/>
              <w:rPr>
                <w:rFonts w:cstheme="minorHAnsi"/>
                <w:b/>
              </w:rPr>
            </w:pPr>
          </w:p>
          <w:p w14:paraId="05FE0C3E" w14:textId="77777777" w:rsidR="007072E8" w:rsidRPr="00116559" w:rsidRDefault="007072E8" w:rsidP="00D47342">
            <w:pPr>
              <w:jc w:val="both"/>
              <w:rPr>
                <w:rFonts w:cstheme="minorHAnsi"/>
                <w:b/>
              </w:rPr>
            </w:pPr>
          </w:p>
          <w:p w14:paraId="13C91635" w14:textId="6222C7A0" w:rsidR="005226FB" w:rsidRPr="00116559" w:rsidRDefault="005226FB" w:rsidP="00D47342">
            <w:pPr>
              <w:jc w:val="both"/>
              <w:rPr>
                <w:rFonts w:cstheme="minorHAnsi"/>
                <w:b/>
              </w:rPr>
            </w:pPr>
          </w:p>
        </w:tc>
        <w:tc>
          <w:tcPr>
            <w:tcW w:w="5670" w:type="dxa"/>
            <w:shd w:val="clear" w:color="auto" w:fill="FFFFFF" w:themeFill="background1"/>
          </w:tcPr>
          <w:p w14:paraId="4C31BB0D" w14:textId="54B9D688" w:rsidR="00BC0F22" w:rsidRPr="00116559" w:rsidRDefault="00BC0F22" w:rsidP="00BC0F22">
            <w:pPr>
              <w:jc w:val="both"/>
              <w:rPr>
                <w:rFonts w:cstheme="minorHAnsi"/>
                <w:bCs/>
              </w:rPr>
            </w:pPr>
            <w:r w:rsidRPr="00116559">
              <w:rPr>
                <w:rFonts w:cstheme="minorHAnsi"/>
                <w:bCs/>
              </w:rPr>
              <w:t xml:space="preserve">Pursuant to the provisions of Section 1 of the Debt </w:t>
            </w:r>
            <w:r w:rsidR="00EF4F69" w:rsidRPr="00116559">
              <w:rPr>
                <w:rFonts w:cstheme="minorHAnsi"/>
                <w:bCs/>
              </w:rPr>
              <w:t>Requirements</w:t>
            </w:r>
            <w:r w:rsidRPr="00116559">
              <w:rPr>
                <w:rFonts w:cstheme="minorHAnsi"/>
                <w:bCs/>
              </w:rPr>
              <w:t xml:space="preserve">, the JSE’s powers to suspend and/or remove a listing of debt securities are subject to the provision of the Financial Markets Act No.19 of 2012. </w:t>
            </w:r>
          </w:p>
          <w:p w14:paraId="78681185" w14:textId="4B750DA8" w:rsidR="00EF4F69" w:rsidRPr="00116559" w:rsidRDefault="00EF4F69" w:rsidP="00BC0F22">
            <w:pPr>
              <w:jc w:val="both"/>
              <w:rPr>
                <w:rFonts w:cstheme="minorHAnsi"/>
                <w:bCs/>
              </w:rPr>
            </w:pPr>
          </w:p>
          <w:p w14:paraId="2465B5FD" w14:textId="77777777" w:rsidR="00F60626" w:rsidRPr="00116559" w:rsidRDefault="00F60626" w:rsidP="005226FB">
            <w:pPr>
              <w:jc w:val="both"/>
              <w:rPr>
                <w:rFonts w:cstheme="minorHAnsi"/>
              </w:rPr>
            </w:pPr>
          </w:p>
        </w:tc>
      </w:tr>
      <w:tr w:rsidR="004A6FE2" w:rsidRPr="00116559" w14:paraId="10E4E97D" w14:textId="77777777" w:rsidTr="00722A95">
        <w:tc>
          <w:tcPr>
            <w:tcW w:w="851" w:type="dxa"/>
            <w:shd w:val="clear" w:color="auto" w:fill="FFFFFF" w:themeFill="background1"/>
          </w:tcPr>
          <w:p w14:paraId="4BA42899" w14:textId="77777777" w:rsidR="004A6FE2" w:rsidRPr="00116559" w:rsidRDefault="004A6FE2" w:rsidP="00486E62">
            <w:pPr>
              <w:jc w:val="both"/>
              <w:rPr>
                <w:rFonts w:cstheme="minorHAnsi"/>
                <w:b/>
              </w:rPr>
            </w:pPr>
          </w:p>
        </w:tc>
        <w:tc>
          <w:tcPr>
            <w:tcW w:w="1701" w:type="dxa"/>
            <w:shd w:val="clear" w:color="auto" w:fill="FFFFFF" w:themeFill="background1"/>
          </w:tcPr>
          <w:p w14:paraId="73B643E1" w14:textId="77777777" w:rsidR="004A6FE2" w:rsidRPr="00116559" w:rsidRDefault="004A6FE2" w:rsidP="00F60626">
            <w:pPr>
              <w:jc w:val="both"/>
              <w:rPr>
                <w:rFonts w:cstheme="minorHAnsi"/>
                <w:b/>
              </w:rPr>
            </w:pPr>
          </w:p>
        </w:tc>
        <w:tc>
          <w:tcPr>
            <w:tcW w:w="4394" w:type="dxa"/>
            <w:shd w:val="clear" w:color="auto" w:fill="FFFFFF" w:themeFill="background1"/>
          </w:tcPr>
          <w:p w14:paraId="325707D3" w14:textId="77777777" w:rsidR="004A6FE2" w:rsidRPr="00116559" w:rsidRDefault="004A6FE2" w:rsidP="00F01852">
            <w:pPr>
              <w:jc w:val="both"/>
              <w:rPr>
                <w:rFonts w:cstheme="minorHAnsi"/>
                <w:b/>
              </w:rPr>
            </w:pPr>
          </w:p>
        </w:tc>
        <w:tc>
          <w:tcPr>
            <w:tcW w:w="5670" w:type="dxa"/>
            <w:shd w:val="clear" w:color="auto" w:fill="FFFFFF" w:themeFill="background1"/>
          </w:tcPr>
          <w:p w14:paraId="4FD3F182" w14:textId="77777777" w:rsidR="004A6FE2" w:rsidRPr="00116559" w:rsidRDefault="004A6FE2" w:rsidP="00BC0F22">
            <w:pPr>
              <w:jc w:val="both"/>
              <w:rPr>
                <w:rFonts w:cstheme="minorHAnsi"/>
                <w:bCs/>
              </w:rPr>
            </w:pPr>
          </w:p>
        </w:tc>
      </w:tr>
      <w:tr w:rsidR="004A6FE2" w:rsidRPr="00116559" w14:paraId="3B67311F" w14:textId="77777777" w:rsidTr="00722A95">
        <w:tc>
          <w:tcPr>
            <w:tcW w:w="851" w:type="dxa"/>
            <w:shd w:val="clear" w:color="auto" w:fill="FFFFFF" w:themeFill="background1"/>
          </w:tcPr>
          <w:p w14:paraId="6250F9CC" w14:textId="0BD39FCB" w:rsidR="004A6FE2" w:rsidRPr="00116559" w:rsidRDefault="00E0267D" w:rsidP="00486E62">
            <w:pPr>
              <w:jc w:val="both"/>
              <w:rPr>
                <w:rFonts w:cstheme="minorHAnsi"/>
                <w:b/>
              </w:rPr>
            </w:pPr>
            <w:r w:rsidRPr="00116559">
              <w:rPr>
                <w:rFonts w:cstheme="minorHAnsi"/>
                <w:b/>
              </w:rPr>
              <w:lastRenderedPageBreak/>
              <w:t>6</w:t>
            </w:r>
          </w:p>
        </w:tc>
        <w:tc>
          <w:tcPr>
            <w:tcW w:w="1701" w:type="dxa"/>
            <w:shd w:val="clear" w:color="auto" w:fill="FFFFFF" w:themeFill="background1"/>
          </w:tcPr>
          <w:p w14:paraId="3B6C21F4" w14:textId="77777777" w:rsidR="00412872" w:rsidRPr="00116559" w:rsidRDefault="00412872" w:rsidP="00412872">
            <w:pPr>
              <w:jc w:val="both"/>
              <w:rPr>
                <w:rFonts w:cstheme="minorHAnsi"/>
                <w:b/>
              </w:rPr>
            </w:pPr>
            <w:r w:rsidRPr="00116559">
              <w:rPr>
                <w:rFonts w:cstheme="minorHAnsi"/>
                <w:b/>
              </w:rPr>
              <w:t>Section 6</w:t>
            </w:r>
          </w:p>
          <w:p w14:paraId="3E5F5BA4" w14:textId="77777777" w:rsidR="00412872" w:rsidRPr="00116559" w:rsidRDefault="00412872" w:rsidP="00412872">
            <w:pPr>
              <w:jc w:val="both"/>
              <w:rPr>
                <w:rFonts w:cstheme="minorHAnsi"/>
                <w:b/>
              </w:rPr>
            </w:pPr>
            <w:r w:rsidRPr="00116559">
              <w:rPr>
                <w:rFonts w:cstheme="minorHAnsi"/>
                <w:b/>
              </w:rPr>
              <w:t>Continuing Obligations</w:t>
            </w:r>
          </w:p>
          <w:p w14:paraId="578BF5ED" w14:textId="77777777" w:rsidR="004A6FE2" w:rsidRPr="00116559" w:rsidRDefault="004A6FE2" w:rsidP="00F60626">
            <w:pPr>
              <w:jc w:val="both"/>
              <w:rPr>
                <w:rFonts w:cstheme="minorHAnsi"/>
                <w:b/>
              </w:rPr>
            </w:pPr>
          </w:p>
        </w:tc>
        <w:tc>
          <w:tcPr>
            <w:tcW w:w="4394" w:type="dxa"/>
            <w:shd w:val="clear" w:color="auto" w:fill="FFFFFF" w:themeFill="background1"/>
          </w:tcPr>
          <w:p w14:paraId="036B4B13" w14:textId="77777777" w:rsidR="004A6FE2" w:rsidRPr="00116559" w:rsidRDefault="00CD07C8" w:rsidP="00F01852">
            <w:pPr>
              <w:jc w:val="both"/>
              <w:rPr>
                <w:rFonts w:cstheme="minorHAnsi"/>
                <w:b/>
                <w:bCs/>
              </w:rPr>
            </w:pPr>
            <w:r w:rsidRPr="00116559">
              <w:rPr>
                <w:rFonts w:cstheme="minorHAnsi"/>
                <w:b/>
                <w:bCs/>
              </w:rPr>
              <w:t>Continuing Obligations – Secondary Registered Issuers</w:t>
            </w:r>
          </w:p>
          <w:p w14:paraId="17ECC802" w14:textId="77777777" w:rsidR="00CD07C8" w:rsidRPr="00116559" w:rsidRDefault="00CD07C8" w:rsidP="00F01852">
            <w:pPr>
              <w:jc w:val="both"/>
              <w:rPr>
                <w:rFonts w:cstheme="minorHAnsi"/>
                <w:b/>
              </w:rPr>
            </w:pPr>
          </w:p>
          <w:p w14:paraId="29E48A21" w14:textId="412044A2" w:rsidR="00CD07C8" w:rsidRPr="00116559" w:rsidRDefault="00545AF7" w:rsidP="00F01852">
            <w:pPr>
              <w:jc w:val="both"/>
              <w:rPr>
                <w:rFonts w:cstheme="minorHAnsi"/>
                <w:b/>
              </w:rPr>
            </w:pPr>
            <w:r w:rsidRPr="00116559">
              <w:rPr>
                <w:rFonts w:cstheme="minorHAnsi"/>
                <w:b/>
              </w:rPr>
              <w:t>Paragraph</w:t>
            </w:r>
            <w:r w:rsidR="00CD07C8" w:rsidRPr="00116559">
              <w:rPr>
                <w:rFonts w:cstheme="minorHAnsi"/>
                <w:b/>
              </w:rPr>
              <w:t xml:space="preserve"> </w:t>
            </w:r>
            <w:r w:rsidRPr="00116559">
              <w:rPr>
                <w:rFonts w:cstheme="minorHAnsi"/>
                <w:b/>
              </w:rPr>
              <w:t>6.99</w:t>
            </w:r>
            <w:r w:rsidR="00C129B9" w:rsidRPr="00116559">
              <w:rPr>
                <w:rFonts w:cstheme="minorHAnsi"/>
                <w:b/>
              </w:rPr>
              <w:t>(a)</w:t>
            </w:r>
          </w:p>
          <w:p w14:paraId="2D0EBAFE" w14:textId="29285DD8" w:rsidR="00545AF7" w:rsidRPr="00116559" w:rsidRDefault="00545AF7" w:rsidP="00F01852">
            <w:pPr>
              <w:jc w:val="both"/>
              <w:rPr>
                <w:rFonts w:cstheme="minorHAnsi"/>
                <w:b/>
              </w:rPr>
            </w:pPr>
          </w:p>
          <w:p w14:paraId="571199D6" w14:textId="3DDEE05C" w:rsidR="0071565D" w:rsidRPr="00116559" w:rsidRDefault="00545AF7" w:rsidP="00F01852">
            <w:pPr>
              <w:jc w:val="both"/>
              <w:rPr>
                <w:rFonts w:cstheme="minorHAnsi"/>
                <w:bCs/>
              </w:rPr>
            </w:pPr>
            <w:r w:rsidRPr="00116559">
              <w:rPr>
                <w:rFonts w:cstheme="minorHAnsi"/>
                <w:bCs/>
              </w:rPr>
              <w:t xml:space="preserve">The JSE intends to amend the Debt Requirements to </w:t>
            </w:r>
            <w:r w:rsidR="00365DD8" w:rsidRPr="00116559">
              <w:rPr>
                <w:rFonts w:cstheme="minorHAnsi"/>
                <w:bCs/>
              </w:rPr>
              <w:t xml:space="preserve">correct a </w:t>
            </w:r>
            <w:r w:rsidR="009016F7" w:rsidRPr="00116559">
              <w:rPr>
                <w:rFonts w:cstheme="minorHAnsi"/>
                <w:bCs/>
              </w:rPr>
              <w:t xml:space="preserve">manifest </w:t>
            </w:r>
            <w:r w:rsidR="00365DD8" w:rsidRPr="00116559">
              <w:rPr>
                <w:rFonts w:cstheme="minorHAnsi"/>
                <w:bCs/>
              </w:rPr>
              <w:t>error</w:t>
            </w:r>
            <w:r w:rsidR="0071565D" w:rsidRPr="00116559">
              <w:rPr>
                <w:rFonts w:cstheme="minorHAnsi"/>
                <w:bCs/>
              </w:rPr>
              <w:t xml:space="preserve">. The paragraph deals with positive continuing obligations placed </w:t>
            </w:r>
            <w:r w:rsidR="004800BF" w:rsidRPr="00116559">
              <w:rPr>
                <w:rFonts w:cstheme="minorHAnsi"/>
                <w:bCs/>
              </w:rPr>
              <w:t>imposed on</w:t>
            </w:r>
            <w:r w:rsidR="0071565D" w:rsidRPr="00116559">
              <w:rPr>
                <w:rFonts w:cstheme="minorHAnsi"/>
                <w:bCs/>
              </w:rPr>
              <w:t xml:space="preserve"> secondary registered issuers. </w:t>
            </w:r>
          </w:p>
          <w:p w14:paraId="221BEF69" w14:textId="77777777" w:rsidR="0071565D" w:rsidRPr="00116559" w:rsidRDefault="0071565D" w:rsidP="00F01852">
            <w:pPr>
              <w:jc w:val="both"/>
              <w:rPr>
                <w:rFonts w:cstheme="minorHAnsi"/>
                <w:bCs/>
              </w:rPr>
            </w:pPr>
          </w:p>
          <w:p w14:paraId="0CA4EA75" w14:textId="344CC06A" w:rsidR="00545AF7" w:rsidRPr="00116559" w:rsidRDefault="0071565D" w:rsidP="00F01852">
            <w:pPr>
              <w:jc w:val="both"/>
              <w:rPr>
                <w:rFonts w:cstheme="minorHAnsi"/>
                <w:bCs/>
              </w:rPr>
            </w:pPr>
            <w:r w:rsidRPr="00116559">
              <w:rPr>
                <w:rFonts w:cstheme="minorHAnsi"/>
                <w:bCs/>
              </w:rPr>
              <w:t xml:space="preserve">As such, there is no need to state that certain continuing obligations are not applicable. </w:t>
            </w:r>
          </w:p>
          <w:p w14:paraId="253ADC2D" w14:textId="77777777" w:rsidR="00545AF7" w:rsidRPr="00116559" w:rsidRDefault="00545AF7" w:rsidP="00F01852">
            <w:pPr>
              <w:jc w:val="both"/>
              <w:rPr>
                <w:rFonts w:cstheme="minorHAnsi"/>
                <w:b/>
              </w:rPr>
            </w:pPr>
          </w:p>
          <w:p w14:paraId="2F6677BD" w14:textId="3F93D40D" w:rsidR="00545AF7" w:rsidRPr="00116559" w:rsidRDefault="00545AF7" w:rsidP="00F01852">
            <w:pPr>
              <w:jc w:val="both"/>
              <w:rPr>
                <w:rFonts w:cstheme="minorHAnsi"/>
                <w:b/>
              </w:rPr>
            </w:pPr>
          </w:p>
        </w:tc>
        <w:tc>
          <w:tcPr>
            <w:tcW w:w="5670" w:type="dxa"/>
            <w:shd w:val="clear" w:color="auto" w:fill="FFFFFF" w:themeFill="background1"/>
          </w:tcPr>
          <w:p w14:paraId="090C640E" w14:textId="6C113E7A" w:rsidR="004A6FE2" w:rsidRPr="00116559" w:rsidRDefault="00574B02" w:rsidP="00BC0F22">
            <w:pPr>
              <w:jc w:val="both"/>
              <w:rPr>
                <w:rFonts w:cstheme="minorHAnsi"/>
                <w:bCs/>
              </w:rPr>
            </w:pPr>
            <w:r w:rsidRPr="00116559">
              <w:rPr>
                <w:rFonts w:cstheme="minorHAnsi"/>
              </w:rPr>
              <w:t xml:space="preserve">The amendments aim to correct a </w:t>
            </w:r>
            <w:r w:rsidR="009016F7" w:rsidRPr="00116559">
              <w:rPr>
                <w:rFonts w:cstheme="minorHAnsi"/>
              </w:rPr>
              <w:t>manifest</w:t>
            </w:r>
            <w:r w:rsidRPr="00116559">
              <w:rPr>
                <w:rFonts w:cstheme="minorHAnsi"/>
              </w:rPr>
              <w:t xml:space="preserve"> error. </w:t>
            </w:r>
          </w:p>
        </w:tc>
      </w:tr>
      <w:tr w:rsidR="00F60626" w:rsidRPr="00116559" w14:paraId="46390194" w14:textId="77777777" w:rsidTr="00722A95">
        <w:tc>
          <w:tcPr>
            <w:tcW w:w="851" w:type="dxa"/>
            <w:shd w:val="clear" w:color="auto" w:fill="FFFFFF" w:themeFill="background1"/>
          </w:tcPr>
          <w:p w14:paraId="6AC2C0B4" w14:textId="77777777" w:rsidR="00F60626" w:rsidRPr="00116559" w:rsidRDefault="00F60626" w:rsidP="00486E62">
            <w:pPr>
              <w:jc w:val="both"/>
              <w:rPr>
                <w:rFonts w:cstheme="minorHAnsi"/>
                <w:b/>
              </w:rPr>
            </w:pPr>
          </w:p>
        </w:tc>
        <w:tc>
          <w:tcPr>
            <w:tcW w:w="1701" w:type="dxa"/>
            <w:shd w:val="clear" w:color="auto" w:fill="FFFFFF" w:themeFill="background1"/>
          </w:tcPr>
          <w:p w14:paraId="4C67A42A" w14:textId="77777777" w:rsidR="00F60626" w:rsidRPr="00116559" w:rsidRDefault="00F60626" w:rsidP="00486E62">
            <w:pPr>
              <w:jc w:val="both"/>
              <w:rPr>
                <w:rFonts w:cstheme="minorHAnsi"/>
                <w:b/>
              </w:rPr>
            </w:pPr>
          </w:p>
        </w:tc>
        <w:tc>
          <w:tcPr>
            <w:tcW w:w="4394" w:type="dxa"/>
            <w:shd w:val="clear" w:color="auto" w:fill="FFFFFF" w:themeFill="background1"/>
          </w:tcPr>
          <w:p w14:paraId="3F11B2E1" w14:textId="77777777" w:rsidR="00F60626" w:rsidRPr="00116559" w:rsidRDefault="00F60626" w:rsidP="00D47342">
            <w:pPr>
              <w:jc w:val="both"/>
              <w:rPr>
                <w:rFonts w:cstheme="minorHAnsi"/>
                <w:b/>
              </w:rPr>
            </w:pPr>
          </w:p>
        </w:tc>
        <w:tc>
          <w:tcPr>
            <w:tcW w:w="5670" w:type="dxa"/>
            <w:shd w:val="clear" w:color="auto" w:fill="FFFFFF" w:themeFill="background1"/>
          </w:tcPr>
          <w:p w14:paraId="2508307D" w14:textId="77777777" w:rsidR="00F60626" w:rsidRPr="00116559" w:rsidRDefault="00F60626" w:rsidP="00486E62">
            <w:pPr>
              <w:jc w:val="both"/>
              <w:rPr>
                <w:rFonts w:cstheme="minorHAnsi"/>
              </w:rPr>
            </w:pPr>
          </w:p>
        </w:tc>
      </w:tr>
      <w:tr w:rsidR="00D472A3" w:rsidRPr="00116559" w14:paraId="4199DB76" w14:textId="77777777" w:rsidTr="00722A95">
        <w:tc>
          <w:tcPr>
            <w:tcW w:w="851" w:type="dxa"/>
            <w:shd w:val="clear" w:color="auto" w:fill="FFFFFF" w:themeFill="background1"/>
          </w:tcPr>
          <w:p w14:paraId="1582BBD6" w14:textId="34C8AECC" w:rsidR="00D472A3" w:rsidRPr="00116559" w:rsidRDefault="006E7FF6" w:rsidP="00486E62">
            <w:pPr>
              <w:jc w:val="both"/>
              <w:rPr>
                <w:rFonts w:cstheme="minorHAnsi"/>
                <w:b/>
              </w:rPr>
            </w:pPr>
            <w:r w:rsidRPr="00116559">
              <w:rPr>
                <w:rFonts w:cstheme="minorHAnsi"/>
                <w:b/>
              </w:rPr>
              <w:t>7</w:t>
            </w:r>
          </w:p>
        </w:tc>
        <w:tc>
          <w:tcPr>
            <w:tcW w:w="1701" w:type="dxa"/>
            <w:shd w:val="clear" w:color="auto" w:fill="FFFFFF" w:themeFill="background1"/>
          </w:tcPr>
          <w:p w14:paraId="2D6C2D5D" w14:textId="065A1742" w:rsidR="00D472A3" w:rsidRPr="00116559" w:rsidRDefault="00D472A3" w:rsidP="00486E62">
            <w:pPr>
              <w:jc w:val="both"/>
              <w:rPr>
                <w:rFonts w:cstheme="minorHAnsi"/>
                <w:b/>
              </w:rPr>
            </w:pPr>
            <w:r w:rsidRPr="00116559">
              <w:rPr>
                <w:rFonts w:cstheme="minorHAnsi"/>
                <w:b/>
              </w:rPr>
              <w:t>Section 7 Corporate Governance</w:t>
            </w:r>
          </w:p>
          <w:p w14:paraId="536CBE1C" w14:textId="28D924F9" w:rsidR="00D472A3" w:rsidRPr="00116559" w:rsidRDefault="00D472A3" w:rsidP="00486E62">
            <w:pPr>
              <w:jc w:val="both"/>
              <w:rPr>
                <w:rFonts w:cstheme="minorHAnsi"/>
                <w:b/>
              </w:rPr>
            </w:pPr>
          </w:p>
        </w:tc>
        <w:tc>
          <w:tcPr>
            <w:tcW w:w="4394" w:type="dxa"/>
            <w:shd w:val="clear" w:color="auto" w:fill="FFFFFF" w:themeFill="background1"/>
          </w:tcPr>
          <w:p w14:paraId="66684838" w14:textId="4297B50F" w:rsidR="00D472A3" w:rsidRPr="00116559" w:rsidRDefault="00D472A3" w:rsidP="00D47342">
            <w:pPr>
              <w:jc w:val="both"/>
              <w:rPr>
                <w:rFonts w:cstheme="minorHAnsi"/>
                <w:b/>
              </w:rPr>
            </w:pPr>
            <w:r w:rsidRPr="00116559">
              <w:rPr>
                <w:rFonts w:cstheme="minorHAnsi"/>
                <w:b/>
              </w:rPr>
              <w:t>Conflicts of Interest</w:t>
            </w:r>
          </w:p>
          <w:p w14:paraId="5109D4AB" w14:textId="58385964" w:rsidR="002B36EC" w:rsidRPr="00116559" w:rsidRDefault="002B36EC" w:rsidP="00D47342">
            <w:pPr>
              <w:jc w:val="both"/>
              <w:rPr>
                <w:rFonts w:cstheme="minorHAnsi"/>
                <w:b/>
              </w:rPr>
            </w:pPr>
            <w:r w:rsidRPr="00116559">
              <w:rPr>
                <w:rFonts w:cstheme="minorHAnsi"/>
                <w:b/>
              </w:rPr>
              <w:t>Paragraph</w:t>
            </w:r>
            <w:r w:rsidR="00C129B9" w:rsidRPr="00116559">
              <w:rPr>
                <w:rFonts w:cstheme="minorHAnsi"/>
                <w:b/>
              </w:rPr>
              <w:t>s</w:t>
            </w:r>
            <w:r w:rsidRPr="00116559">
              <w:rPr>
                <w:rFonts w:cstheme="minorHAnsi"/>
                <w:b/>
              </w:rPr>
              <w:t xml:space="preserve"> 7.4 </w:t>
            </w:r>
            <w:r w:rsidR="00C129B9" w:rsidRPr="00116559">
              <w:rPr>
                <w:rFonts w:cstheme="minorHAnsi"/>
                <w:b/>
              </w:rPr>
              <w:t>and 7.6</w:t>
            </w:r>
          </w:p>
          <w:p w14:paraId="245903C0" w14:textId="05F1A2BD" w:rsidR="002E3752" w:rsidRPr="00116559" w:rsidRDefault="002E3752" w:rsidP="00D47342">
            <w:pPr>
              <w:jc w:val="both"/>
              <w:rPr>
                <w:rFonts w:cstheme="minorHAnsi"/>
                <w:b/>
              </w:rPr>
            </w:pPr>
          </w:p>
          <w:p w14:paraId="21FCD2CD" w14:textId="171FB9E8" w:rsidR="002E3752" w:rsidRPr="00116559" w:rsidRDefault="002E3752" w:rsidP="00D47342">
            <w:pPr>
              <w:jc w:val="both"/>
              <w:rPr>
                <w:rFonts w:cstheme="minorHAnsi"/>
              </w:rPr>
            </w:pPr>
            <w:r w:rsidRPr="00116559">
              <w:rPr>
                <w:rFonts w:cstheme="minorHAnsi"/>
              </w:rPr>
              <w:t>An</w:t>
            </w:r>
            <w:r w:rsidR="00C22BEA" w:rsidRPr="00116559">
              <w:rPr>
                <w:rFonts w:cstheme="minorHAnsi"/>
              </w:rPr>
              <w:t xml:space="preserve"> applicant issuer</w:t>
            </w:r>
            <w:r w:rsidRPr="00116559">
              <w:rPr>
                <w:rFonts w:cstheme="minorHAnsi"/>
              </w:rPr>
              <w:t xml:space="preserve"> is required to have a current policy dealing with the conflicts of interest of the directors and the executive management of the applicant issuer and how such conflicting interests can be identified and managed or avoided.</w:t>
            </w:r>
          </w:p>
          <w:p w14:paraId="372BAB1C" w14:textId="215022FF" w:rsidR="001577A4" w:rsidRPr="00116559" w:rsidRDefault="001577A4" w:rsidP="00D47342">
            <w:pPr>
              <w:jc w:val="both"/>
              <w:rPr>
                <w:rFonts w:cstheme="minorHAnsi"/>
                <w:b/>
              </w:rPr>
            </w:pPr>
          </w:p>
          <w:p w14:paraId="09EAA265" w14:textId="5E689038" w:rsidR="00D472A3" w:rsidRPr="00116559" w:rsidRDefault="001577A4" w:rsidP="00D47342">
            <w:pPr>
              <w:jc w:val="both"/>
              <w:rPr>
                <w:rFonts w:cstheme="minorHAnsi"/>
                <w:b/>
              </w:rPr>
            </w:pPr>
            <w:r w:rsidRPr="00116559">
              <w:rPr>
                <w:rFonts w:cstheme="minorHAnsi"/>
                <w:bCs/>
              </w:rPr>
              <w:t xml:space="preserve">The JSE intends to amend the Debt Requirements to provide more details as to the nature of the conflicts of interest, which must address personal financial </w:t>
            </w:r>
            <w:r w:rsidR="00C86A01" w:rsidRPr="00116559">
              <w:rPr>
                <w:rFonts w:cstheme="minorHAnsi"/>
                <w:bCs/>
              </w:rPr>
              <w:t>interests</w:t>
            </w:r>
            <w:r w:rsidRPr="00116559">
              <w:rPr>
                <w:rFonts w:cstheme="minorHAnsi"/>
                <w:bCs/>
              </w:rPr>
              <w:t xml:space="preserve"> of the </w:t>
            </w:r>
            <w:r w:rsidR="00C86A01" w:rsidRPr="00116559">
              <w:rPr>
                <w:rFonts w:cstheme="minorHAnsi"/>
                <w:bCs/>
              </w:rPr>
              <w:t>directors and</w:t>
            </w:r>
            <w:r w:rsidR="008D5E3B" w:rsidRPr="00116559">
              <w:rPr>
                <w:rFonts w:cstheme="minorHAnsi"/>
                <w:bCs/>
              </w:rPr>
              <w:t xml:space="preserve"> executive management of the applicant issuer. </w:t>
            </w:r>
          </w:p>
          <w:p w14:paraId="0DC608F3" w14:textId="1969C656" w:rsidR="00D472A3" w:rsidRPr="00116559" w:rsidRDefault="00D472A3" w:rsidP="00D47342">
            <w:pPr>
              <w:jc w:val="both"/>
              <w:rPr>
                <w:rFonts w:cstheme="minorHAnsi"/>
                <w:b/>
              </w:rPr>
            </w:pPr>
          </w:p>
        </w:tc>
        <w:tc>
          <w:tcPr>
            <w:tcW w:w="5670" w:type="dxa"/>
            <w:shd w:val="clear" w:color="auto" w:fill="FFFFFF" w:themeFill="background1"/>
          </w:tcPr>
          <w:p w14:paraId="0151FE6A" w14:textId="13C5E364" w:rsidR="00D472A3" w:rsidRPr="00116559" w:rsidRDefault="008D5E3B" w:rsidP="00486E62">
            <w:pPr>
              <w:jc w:val="both"/>
              <w:rPr>
                <w:rFonts w:cstheme="minorHAnsi"/>
              </w:rPr>
            </w:pPr>
            <w:r w:rsidRPr="00116559">
              <w:rPr>
                <w:rFonts w:cstheme="minorHAnsi"/>
              </w:rPr>
              <w:t xml:space="preserve">The amendments aim to afford more clarity on the scope of the conflicts of interests to be addressed. </w:t>
            </w:r>
          </w:p>
        </w:tc>
      </w:tr>
      <w:tr w:rsidR="008A6B1F" w:rsidRPr="00116559" w14:paraId="3C1E0A42" w14:textId="77777777" w:rsidTr="00722A95">
        <w:tc>
          <w:tcPr>
            <w:tcW w:w="851" w:type="dxa"/>
            <w:shd w:val="clear" w:color="auto" w:fill="FFFFFF" w:themeFill="background1"/>
          </w:tcPr>
          <w:p w14:paraId="16A8E000" w14:textId="77777777" w:rsidR="008A6B1F" w:rsidRPr="00116559" w:rsidRDefault="008A6B1F" w:rsidP="00486E62">
            <w:pPr>
              <w:jc w:val="both"/>
              <w:rPr>
                <w:rFonts w:cstheme="minorHAnsi"/>
                <w:b/>
              </w:rPr>
            </w:pPr>
          </w:p>
        </w:tc>
        <w:tc>
          <w:tcPr>
            <w:tcW w:w="1701" w:type="dxa"/>
            <w:shd w:val="clear" w:color="auto" w:fill="FFFFFF" w:themeFill="background1"/>
          </w:tcPr>
          <w:p w14:paraId="67A61E43" w14:textId="77777777" w:rsidR="008A6B1F" w:rsidRPr="00116559" w:rsidRDefault="008A6B1F" w:rsidP="00486E62">
            <w:pPr>
              <w:jc w:val="both"/>
              <w:rPr>
                <w:rFonts w:cstheme="minorHAnsi"/>
                <w:b/>
              </w:rPr>
            </w:pPr>
          </w:p>
        </w:tc>
        <w:tc>
          <w:tcPr>
            <w:tcW w:w="4394" w:type="dxa"/>
            <w:shd w:val="clear" w:color="auto" w:fill="FFFFFF" w:themeFill="background1"/>
          </w:tcPr>
          <w:p w14:paraId="6AE3EE5E" w14:textId="77777777" w:rsidR="008A6B1F" w:rsidRPr="00116559" w:rsidRDefault="008A6B1F" w:rsidP="00D47342">
            <w:pPr>
              <w:jc w:val="both"/>
              <w:rPr>
                <w:rFonts w:cstheme="minorHAnsi"/>
                <w:b/>
              </w:rPr>
            </w:pPr>
          </w:p>
        </w:tc>
        <w:tc>
          <w:tcPr>
            <w:tcW w:w="5670" w:type="dxa"/>
            <w:shd w:val="clear" w:color="auto" w:fill="FFFFFF" w:themeFill="background1"/>
          </w:tcPr>
          <w:p w14:paraId="453C79EB" w14:textId="77777777" w:rsidR="008A6B1F" w:rsidRPr="00116559" w:rsidRDefault="008A6B1F" w:rsidP="00486E62">
            <w:pPr>
              <w:jc w:val="both"/>
              <w:rPr>
                <w:rFonts w:cstheme="minorHAnsi"/>
              </w:rPr>
            </w:pPr>
          </w:p>
        </w:tc>
      </w:tr>
      <w:tr w:rsidR="008A6B1F" w:rsidRPr="00116559" w14:paraId="762D0249" w14:textId="77777777" w:rsidTr="00722A95">
        <w:tc>
          <w:tcPr>
            <w:tcW w:w="851" w:type="dxa"/>
            <w:shd w:val="clear" w:color="auto" w:fill="FFFFFF" w:themeFill="background1"/>
          </w:tcPr>
          <w:p w14:paraId="229FD3AF" w14:textId="6C71A58F" w:rsidR="008A6B1F" w:rsidRPr="00116559" w:rsidRDefault="00FC64B5" w:rsidP="00486E62">
            <w:pPr>
              <w:jc w:val="both"/>
              <w:rPr>
                <w:rFonts w:cstheme="minorHAnsi"/>
                <w:b/>
              </w:rPr>
            </w:pPr>
            <w:r w:rsidRPr="00116559">
              <w:rPr>
                <w:rFonts w:cstheme="minorHAnsi"/>
                <w:b/>
              </w:rPr>
              <w:lastRenderedPageBreak/>
              <w:t>8</w:t>
            </w:r>
          </w:p>
        </w:tc>
        <w:tc>
          <w:tcPr>
            <w:tcW w:w="1701" w:type="dxa"/>
            <w:shd w:val="clear" w:color="auto" w:fill="FFFFFF" w:themeFill="background1"/>
          </w:tcPr>
          <w:p w14:paraId="37BD9EE2" w14:textId="77777777" w:rsidR="008A6B1F" w:rsidRPr="00116559" w:rsidRDefault="008A6B1F" w:rsidP="008A6B1F">
            <w:pPr>
              <w:jc w:val="both"/>
              <w:rPr>
                <w:rFonts w:cstheme="minorHAnsi"/>
                <w:b/>
              </w:rPr>
            </w:pPr>
            <w:r w:rsidRPr="00116559">
              <w:rPr>
                <w:rFonts w:cstheme="minorHAnsi"/>
                <w:b/>
              </w:rPr>
              <w:t>Section 7 Corporate Governance</w:t>
            </w:r>
          </w:p>
          <w:p w14:paraId="6888B577" w14:textId="77777777" w:rsidR="008A6B1F" w:rsidRPr="00116559" w:rsidRDefault="008A6B1F" w:rsidP="00486E62">
            <w:pPr>
              <w:jc w:val="both"/>
              <w:rPr>
                <w:rFonts w:cstheme="minorHAnsi"/>
                <w:b/>
              </w:rPr>
            </w:pPr>
          </w:p>
        </w:tc>
        <w:tc>
          <w:tcPr>
            <w:tcW w:w="4394" w:type="dxa"/>
            <w:shd w:val="clear" w:color="auto" w:fill="FFFFFF" w:themeFill="background1"/>
          </w:tcPr>
          <w:p w14:paraId="61EA0311" w14:textId="09EB270F" w:rsidR="008A6B1F" w:rsidRPr="00116559" w:rsidRDefault="007125E8" w:rsidP="008A6B1F">
            <w:pPr>
              <w:jc w:val="both"/>
              <w:rPr>
                <w:rFonts w:cstheme="minorHAnsi"/>
                <w:b/>
              </w:rPr>
            </w:pPr>
            <w:r w:rsidRPr="00116559">
              <w:rPr>
                <w:rFonts w:cstheme="minorHAnsi"/>
                <w:b/>
              </w:rPr>
              <w:t>General: Loans &amp; Procurement</w:t>
            </w:r>
          </w:p>
          <w:p w14:paraId="69848E22" w14:textId="5BBE7898" w:rsidR="008A6B1F" w:rsidRPr="00116559" w:rsidRDefault="008A6B1F" w:rsidP="008A6B1F">
            <w:pPr>
              <w:jc w:val="both"/>
              <w:rPr>
                <w:rFonts w:cstheme="minorHAnsi"/>
                <w:b/>
              </w:rPr>
            </w:pPr>
            <w:r w:rsidRPr="00116559">
              <w:rPr>
                <w:rFonts w:cstheme="minorHAnsi"/>
                <w:b/>
              </w:rPr>
              <w:t>Paragraph 7.</w:t>
            </w:r>
            <w:r w:rsidR="007125E8" w:rsidRPr="00116559">
              <w:rPr>
                <w:rFonts w:cstheme="minorHAnsi"/>
                <w:b/>
              </w:rPr>
              <w:t>1</w:t>
            </w:r>
            <w:r w:rsidR="00C129B9" w:rsidRPr="00116559">
              <w:rPr>
                <w:rFonts w:cstheme="minorHAnsi"/>
                <w:b/>
              </w:rPr>
              <w:t>2</w:t>
            </w:r>
          </w:p>
          <w:p w14:paraId="6607D3EA" w14:textId="5559A2EE" w:rsidR="00C75099" w:rsidRPr="00116559" w:rsidRDefault="00C75099" w:rsidP="008A6B1F">
            <w:pPr>
              <w:jc w:val="both"/>
              <w:rPr>
                <w:rFonts w:cstheme="minorHAnsi"/>
                <w:b/>
              </w:rPr>
            </w:pPr>
          </w:p>
          <w:p w14:paraId="3E729453" w14:textId="1BC3AD43" w:rsidR="00C75099" w:rsidRPr="00116559" w:rsidRDefault="00C75099" w:rsidP="00C75099">
            <w:pPr>
              <w:jc w:val="both"/>
              <w:rPr>
                <w:rFonts w:cstheme="minorHAnsi"/>
              </w:rPr>
            </w:pPr>
            <w:r w:rsidRPr="00116559">
              <w:rPr>
                <w:rFonts w:cstheme="minorHAnsi"/>
              </w:rPr>
              <w:t xml:space="preserve">If </w:t>
            </w:r>
            <w:r w:rsidR="0029175F" w:rsidRPr="00116559">
              <w:rPr>
                <w:rFonts w:cstheme="minorHAnsi"/>
              </w:rPr>
              <w:t>an</w:t>
            </w:r>
            <w:r w:rsidRPr="00116559">
              <w:rPr>
                <w:rFonts w:cstheme="minorHAnsi"/>
              </w:rPr>
              <w:t xml:space="preserve"> applicant issuer is a state-owned entity or municipality and has a policy dealing with procurement of services and/or products, this policy must be current and published on the issuer’s website. </w:t>
            </w:r>
          </w:p>
          <w:p w14:paraId="3CDAB1F1" w14:textId="2CE932C8" w:rsidR="0029175F" w:rsidRPr="00116559" w:rsidRDefault="0029175F" w:rsidP="00C75099">
            <w:pPr>
              <w:jc w:val="both"/>
              <w:rPr>
                <w:rFonts w:cstheme="minorHAnsi"/>
              </w:rPr>
            </w:pPr>
          </w:p>
          <w:p w14:paraId="094E0065" w14:textId="507CC3AB" w:rsidR="0029175F" w:rsidRPr="00116559" w:rsidRDefault="0029175F" w:rsidP="00C75099">
            <w:pPr>
              <w:jc w:val="both"/>
              <w:rPr>
                <w:rFonts w:cstheme="minorHAnsi"/>
              </w:rPr>
            </w:pPr>
            <w:r w:rsidRPr="00116559">
              <w:rPr>
                <w:rFonts w:cstheme="minorHAnsi"/>
                <w:bCs/>
              </w:rPr>
              <w:t>The JSE intends to amend the Debt Requirements to</w:t>
            </w:r>
            <w:r w:rsidR="00087217" w:rsidRPr="00116559">
              <w:rPr>
                <w:rFonts w:cstheme="minorHAnsi"/>
                <w:bCs/>
              </w:rPr>
              <w:t xml:space="preserve"> provide more details </w:t>
            </w:r>
            <w:r w:rsidRPr="00116559">
              <w:rPr>
                <w:rFonts w:cstheme="minorHAnsi"/>
                <w:bCs/>
              </w:rPr>
              <w:t xml:space="preserve">if an </w:t>
            </w:r>
            <w:r w:rsidR="00087217" w:rsidRPr="00116559">
              <w:rPr>
                <w:rFonts w:cstheme="minorHAnsi"/>
                <w:bCs/>
              </w:rPr>
              <w:t xml:space="preserve">applicant </w:t>
            </w:r>
            <w:r w:rsidRPr="00116559">
              <w:rPr>
                <w:rFonts w:cstheme="minorHAnsi"/>
                <w:bCs/>
              </w:rPr>
              <w:t>issuer does not have a policy</w:t>
            </w:r>
            <w:r w:rsidR="008362A1" w:rsidRPr="00116559">
              <w:rPr>
                <w:rFonts w:cstheme="minorHAnsi"/>
                <w:bCs/>
              </w:rPr>
              <w:t>.</w:t>
            </w:r>
            <w:r w:rsidR="00E86A9D" w:rsidRPr="00116559">
              <w:rPr>
                <w:rFonts w:cstheme="minorHAnsi"/>
                <w:bCs/>
              </w:rPr>
              <w:t xml:space="preserve"> The further d</w:t>
            </w:r>
            <w:r w:rsidR="00565F11" w:rsidRPr="00116559">
              <w:rPr>
                <w:rFonts w:cstheme="minorHAnsi"/>
                <w:bCs/>
              </w:rPr>
              <w:t>isclosure</w:t>
            </w:r>
            <w:r w:rsidR="00E86A9D" w:rsidRPr="00116559">
              <w:rPr>
                <w:rFonts w:cstheme="minorHAnsi"/>
                <w:bCs/>
              </w:rPr>
              <w:t xml:space="preserve"> should provide information on what </w:t>
            </w:r>
            <w:r w:rsidR="00083287" w:rsidRPr="00116559">
              <w:rPr>
                <w:rFonts w:cstheme="minorHAnsi"/>
                <w:bCs/>
              </w:rPr>
              <w:t>statutory</w:t>
            </w:r>
            <w:r w:rsidR="00EC320A" w:rsidRPr="00116559">
              <w:rPr>
                <w:rFonts w:cstheme="minorHAnsi"/>
                <w:bCs/>
              </w:rPr>
              <w:t xml:space="preserve"> or regulatory </w:t>
            </w:r>
            <w:r w:rsidR="00425D6B" w:rsidRPr="00116559">
              <w:rPr>
                <w:rFonts w:cstheme="minorHAnsi"/>
                <w:bCs/>
              </w:rPr>
              <w:t xml:space="preserve">framework it may be subject to </w:t>
            </w:r>
            <w:proofErr w:type="gramStart"/>
            <w:r w:rsidR="00425D6B" w:rsidRPr="00116559">
              <w:rPr>
                <w:rFonts w:cstheme="minorHAnsi"/>
                <w:bCs/>
              </w:rPr>
              <w:t>in order to</w:t>
            </w:r>
            <w:proofErr w:type="gramEnd"/>
            <w:r w:rsidR="00425D6B" w:rsidRPr="00116559">
              <w:rPr>
                <w:rFonts w:cstheme="minorHAnsi"/>
                <w:bCs/>
              </w:rPr>
              <w:t xml:space="preserve"> justify not having a </w:t>
            </w:r>
            <w:r w:rsidR="00425D6B" w:rsidRPr="00116559">
              <w:rPr>
                <w:rFonts w:cstheme="minorHAnsi"/>
              </w:rPr>
              <w:t>policy dealing with procurement of services and/or products</w:t>
            </w:r>
            <w:r w:rsidR="00E86A9D" w:rsidRPr="00116559">
              <w:rPr>
                <w:rFonts w:cstheme="minorHAnsi"/>
              </w:rPr>
              <w:t>.</w:t>
            </w:r>
          </w:p>
          <w:p w14:paraId="5FA68EB7" w14:textId="4A47B224" w:rsidR="007125E8" w:rsidRPr="00116559" w:rsidRDefault="007125E8" w:rsidP="00D47342">
            <w:pPr>
              <w:jc w:val="both"/>
              <w:rPr>
                <w:rFonts w:cstheme="minorHAnsi"/>
                <w:b/>
              </w:rPr>
            </w:pPr>
          </w:p>
        </w:tc>
        <w:tc>
          <w:tcPr>
            <w:tcW w:w="5670" w:type="dxa"/>
            <w:shd w:val="clear" w:color="auto" w:fill="FFFFFF" w:themeFill="background1"/>
          </w:tcPr>
          <w:p w14:paraId="18B9D9E0" w14:textId="5BE33327" w:rsidR="00686CFF" w:rsidRPr="00116559" w:rsidRDefault="00686CFF" w:rsidP="00486E62">
            <w:pPr>
              <w:jc w:val="both"/>
              <w:rPr>
                <w:rFonts w:cstheme="minorHAnsi"/>
              </w:rPr>
            </w:pPr>
            <w:r w:rsidRPr="00116559">
              <w:rPr>
                <w:rFonts w:cstheme="minorHAnsi"/>
              </w:rPr>
              <w:t>It is accepted that state-owned entities are subject to a public procurement framework</w:t>
            </w:r>
            <w:r w:rsidR="004024E9" w:rsidRPr="00116559">
              <w:rPr>
                <w:rFonts w:cstheme="minorHAnsi"/>
              </w:rPr>
              <w:t xml:space="preserve"> through the Public Finance Management, 1999 and guidelines issued by National Treasury</w:t>
            </w:r>
            <w:r w:rsidR="00DD22BA" w:rsidRPr="00116559">
              <w:rPr>
                <w:rFonts w:cstheme="minorHAnsi"/>
              </w:rPr>
              <w:t xml:space="preserve"> and may not have a policy dealing with procurement of services and/or products</w:t>
            </w:r>
            <w:r w:rsidRPr="00116559">
              <w:rPr>
                <w:rFonts w:cstheme="minorHAnsi"/>
              </w:rPr>
              <w:t>.</w:t>
            </w:r>
          </w:p>
          <w:p w14:paraId="30D09B12" w14:textId="7F7E7261" w:rsidR="008A6B1F" w:rsidRPr="00116559" w:rsidRDefault="00974184" w:rsidP="00486E62">
            <w:pPr>
              <w:jc w:val="both"/>
              <w:rPr>
                <w:rFonts w:cstheme="minorHAnsi"/>
                <w:bCs/>
              </w:rPr>
            </w:pPr>
            <w:r w:rsidRPr="00116559">
              <w:rPr>
                <w:rFonts w:cstheme="minorHAnsi"/>
              </w:rPr>
              <w:t>The</w:t>
            </w:r>
            <w:r w:rsidR="00662990" w:rsidRPr="00116559">
              <w:rPr>
                <w:rFonts w:cstheme="minorHAnsi"/>
              </w:rPr>
              <w:t xml:space="preserve"> position </w:t>
            </w:r>
            <w:r w:rsidRPr="00116559">
              <w:rPr>
                <w:rFonts w:cstheme="minorHAnsi"/>
              </w:rPr>
              <w:t>of the JSE</w:t>
            </w:r>
            <w:r w:rsidR="00662990" w:rsidRPr="00116559">
              <w:rPr>
                <w:rFonts w:cstheme="minorHAnsi"/>
              </w:rPr>
              <w:t>, at the time</w:t>
            </w:r>
            <w:r w:rsidR="00DD22BA" w:rsidRPr="00116559">
              <w:rPr>
                <w:rFonts w:cstheme="minorHAnsi"/>
              </w:rPr>
              <w:t xml:space="preserve"> of introducing the provision</w:t>
            </w:r>
            <w:r w:rsidR="00662990" w:rsidRPr="00116559">
              <w:rPr>
                <w:rFonts w:cstheme="minorHAnsi"/>
              </w:rPr>
              <w:t xml:space="preserve">, </w:t>
            </w:r>
            <w:r w:rsidRPr="00116559">
              <w:rPr>
                <w:rFonts w:cstheme="minorHAnsi"/>
              </w:rPr>
              <w:t xml:space="preserve">was that </w:t>
            </w:r>
            <w:r w:rsidR="00662990" w:rsidRPr="00116559">
              <w:rPr>
                <w:rFonts w:cstheme="minorHAnsi"/>
              </w:rPr>
              <w:t xml:space="preserve">it was </w:t>
            </w:r>
            <w:proofErr w:type="spellStart"/>
            <w:r w:rsidR="00662990" w:rsidRPr="00116559">
              <w:rPr>
                <w:rFonts w:cstheme="minorHAnsi"/>
              </w:rPr>
              <w:t>recognised</w:t>
            </w:r>
            <w:proofErr w:type="spellEnd"/>
            <w:r w:rsidR="00662990" w:rsidRPr="00116559">
              <w:rPr>
                <w:rFonts w:cstheme="minorHAnsi"/>
              </w:rPr>
              <w:t xml:space="preserve"> that not all</w:t>
            </w:r>
            <w:r w:rsidRPr="00116559">
              <w:rPr>
                <w:rFonts w:cstheme="minorHAnsi"/>
              </w:rPr>
              <w:t xml:space="preserve"> state-owned entity or municipalit</w:t>
            </w:r>
            <w:r w:rsidR="00662990" w:rsidRPr="00116559">
              <w:rPr>
                <w:rFonts w:cstheme="minorHAnsi"/>
              </w:rPr>
              <w:t>ies</w:t>
            </w:r>
            <w:r w:rsidR="00083287" w:rsidRPr="00116559">
              <w:rPr>
                <w:rFonts w:cstheme="minorHAnsi"/>
              </w:rPr>
              <w:t xml:space="preserve"> have </w:t>
            </w:r>
            <w:r w:rsidR="00E86A9D" w:rsidRPr="00116559">
              <w:rPr>
                <w:rFonts w:cstheme="minorHAnsi"/>
              </w:rPr>
              <w:t xml:space="preserve">a </w:t>
            </w:r>
            <w:r w:rsidR="00DD22BA" w:rsidRPr="00116559">
              <w:rPr>
                <w:rFonts w:cstheme="minorHAnsi"/>
              </w:rPr>
              <w:t xml:space="preserve">separate </w:t>
            </w:r>
            <w:r w:rsidR="00E86A9D" w:rsidRPr="00116559">
              <w:rPr>
                <w:rFonts w:cstheme="minorHAnsi"/>
              </w:rPr>
              <w:t xml:space="preserve">policy dealing with procurement of services and/or products policy </w:t>
            </w:r>
            <w:r w:rsidR="00083287" w:rsidRPr="00116559">
              <w:rPr>
                <w:rFonts w:cstheme="minorHAnsi"/>
              </w:rPr>
              <w:t xml:space="preserve">because </w:t>
            </w:r>
            <w:r w:rsidR="00DE25C4" w:rsidRPr="00116559">
              <w:rPr>
                <w:rFonts w:cstheme="minorHAnsi"/>
              </w:rPr>
              <w:t xml:space="preserve">of the </w:t>
            </w:r>
            <w:r w:rsidR="00083287" w:rsidRPr="00116559">
              <w:rPr>
                <w:rFonts w:cstheme="minorHAnsi"/>
                <w:bCs/>
              </w:rPr>
              <w:t>statutory or regulatory framework</w:t>
            </w:r>
            <w:r w:rsidR="00AC47E1" w:rsidRPr="00116559">
              <w:rPr>
                <w:rFonts w:cstheme="minorHAnsi"/>
                <w:bCs/>
              </w:rPr>
              <w:t xml:space="preserve">. </w:t>
            </w:r>
          </w:p>
          <w:p w14:paraId="30F6E535" w14:textId="0AC3E05F" w:rsidR="004D18EE" w:rsidRPr="00116559" w:rsidRDefault="004D18EE" w:rsidP="00486E62">
            <w:pPr>
              <w:jc w:val="both"/>
              <w:rPr>
                <w:rFonts w:cstheme="minorHAnsi"/>
                <w:bCs/>
              </w:rPr>
            </w:pPr>
          </w:p>
          <w:p w14:paraId="1783663E" w14:textId="4E386026" w:rsidR="004D18EE" w:rsidRPr="00116559" w:rsidRDefault="004D18EE" w:rsidP="00486E62">
            <w:pPr>
              <w:jc w:val="both"/>
              <w:rPr>
                <w:rFonts w:cstheme="minorHAnsi"/>
                <w:bCs/>
              </w:rPr>
            </w:pPr>
            <w:r w:rsidRPr="00116559">
              <w:rPr>
                <w:rFonts w:cstheme="minorHAnsi"/>
                <w:bCs/>
              </w:rPr>
              <w:t>The details of any such</w:t>
            </w:r>
            <w:r w:rsidRPr="00116559">
              <w:rPr>
                <w:rFonts w:cstheme="minorHAnsi"/>
              </w:rPr>
              <w:t xml:space="preserve"> </w:t>
            </w:r>
            <w:r w:rsidRPr="00116559">
              <w:rPr>
                <w:rFonts w:cstheme="minorHAnsi"/>
                <w:bCs/>
              </w:rPr>
              <w:t>statutory or regulatory framework must now be disclosed.</w:t>
            </w:r>
          </w:p>
          <w:p w14:paraId="39F88774" w14:textId="77777777" w:rsidR="0058704F" w:rsidRPr="00116559" w:rsidRDefault="0058704F" w:rsidP="00486E62">
            <w:pPr>
              <w:jc w:val="both"/>
              <w:rPr>
                <w:rFonts w:cstheme="minorHAnsi"/>
                <w:bCs/>
              </w:rPr>
            </w:pPr>
          </w:p>
          <w:p w14:paraId="13BDDF52" w14:textId="6D601A4E" w:rsidR="0058704F" w:rsidRPr="00116559" w:rsidRDefault="0058704F" w:rsidP="00486E62">
            <w:pPr>
              <w:jc w:val="both"/>
              <w:rPr>
                <w:rFonts w:cstheme="minorHAnsi"/>
              </w:rPr>
            </w:pPr>
          </w:p>
        </w:tc>
      </w:tr>
      <w:tr w:rsidR="00D472A3" w:rsidRPr="00116559" w14:paraId="73962AB4" w14:textId="77777777" w:rsidTr="00722A95">
        <w:tc>
          <w:tcPr>
            <w:tcW w:w="851" w:type="dxa"/>
            <w:shd w:val="clear" w:color="auto" w:fill="FFFFFF" w:themeFill="background1"/>
          </w:tcPr>
          <w:p w14:paraId="3963391E" w14:textId="77777777" w:rsidR="00D472A3" w:rsidRPr="00116559" w:rsidRDefault="00D472A3" w:rsidP="00486E62">
            <w:pPr>
              <w:jc w:val="both"/>
              <w:rPr>
                <w:rFonts w:cstheme="minorHAnsi"/>
                <w:b/>
              </w:rPr>
            </w:pPr>
          </w:p>
        </w:tc>
        <w:tc>
          <w:tcPr>
            <w:tcW w:w="1701" w:type="dxa"/>
            <w:shd w:val="clear" w:color="auto" w:fill="FFFFFF" w:themeFill="background1"/>
          </w:tcPr>
          <w:p w14:paraId="2E9308B8" w14:textId="77777777" w:rsidR="00D472A3" w:rsidRPr="00116559" w:rsidRDefault="00D472A3" w:rsidP="00486E62">
            <w:pPr>
              <w:jc w:val="both"/>
              <w:rPr>
                <w:rFonts w:cstheme="minorHAnsi"/>
                <w:b/>
              </w:rPr>
            </w:pPr>
          </w:p>
        </w:tc>
        <w:tc>
          <w:tcPr>
            <w:tcW w:w="4394" w:type="dxa"/>
            <w:shd w:val="clear" w:color="auto" w:fill="FFFFFF" w:themeFill="background1"/>
          </w:tcPr>
          <w:p w14:paraId="59C245FF" w14:textId="77777777" w:rsidR="00D472A3" w:rsidRPr="00116559" w:rsidRDefault="00D472A3" w:rsidP="00D47342">
            <w:pPr>
              <w:jc w:val="both"/>
              <w:rPr>
                <w:rFonts w:cstheme="minorHAnsi"/>
                <w:b/>
              </w:rPr>
            </w:pPr>
          </w:p>
        </w:tc>
        <w:tc>
          <w:tcPr>
            <w:tcW w:w="5670" w:type="dxa"/>
            <w:shd w:val="clear" w:color="auto" w:fill="FFFFFF" w:themeFill="background1"/>
          </w:tcPr>
          <w:p w14:paraId="0D042899" w14:textId="77777777" w:rsidR="00D472A3" w:rsidRPr="00116559" w:rsidRDefault="00D472A3" w:rsidP="00486E62">
            <w:pPr>
              <w:jc w:val="both"/>
              <w:rPr>
                <w:rFonts w:cstheme="minorHAnsi"/>
              </w:rPr>
            </w:pPr>
          </w:p>
        </w:tc>
      </w:tr>
      <w:tr w:rsidR="00B36AFB" w:rsidRPr="00116559" w14:paraId="5DC41E69" w14:textId="77777777" w:rsidTr="00722A95">
        <w:tc>
          <w:tcPr>
            <w:tcW w:w="851" w:type="dxa"/>
            <w:shd w:val="clear" w:color="auto" w:fill="FFFFFF" w:themeFill="background1"/>
          </w:tcPr>
          <w:p w14:paraId="13A34945" w14:textId="35F215BF" w:rsidR="00B36AFB" w:rsidRPr="00116559" w:rsidRDefault="00DD22BA" w:rsidP="007D7B84">
            <w:pPr>
              <w:jc w:val="both"/>
              <w:rPr>
                <w:rFonts w:cstheme="minorHAnsi"/>
                <w:b/>
              </w:rPr>
            </w:pPr>
            <w:r w:rsidRPr="00116559">
              <w:rPr>
                <w:rFonts w:cstheme="minorHAnsi"/>
                <w:b/>
              </w:rPr>
              <w:t>9</w:t>
            </w:r>
          </w:p>
        </w:tc>
        <w:tc>
          <w:tcPr>
            <w:tcW w:w="1701" w:type="dxa"/>
            <w:shd w:val="clear" w:color="auto" w:fill="FFFFFF" w:themeFill="background1"/>
          </w:tcPr>
          <w:p w14:paraId="5C56D549" w14:textId="77777777" w:rsidR="00B36AFB" w:rsidRPr="00116559" w:rsidRDefault="00CB78D3" w:rsidP="007D7B84">
            <w:pPr>
              <w:jc w:val="both"/>
              <w:rPr>
                <w:rFonts w:cstheme="minorHAnsi"/>
                <w:b/>
              </w:rPr>
            </w:pPr>
            <w:r w:rsidRPr="00116559">
              <w:rPr>
                <w:rFonts w:cstheme="minorHAnsi"/>
                <w:b/>
              </w:rPr>
              <w:t>Schedule 3</w:t>
            </w:r>
          </w:p>
          <w:p w14:paraId="33D6E8F0" w14:textId="2D457DB0" w:rsidR="00CB78D3" w:rsidRPr="00116559" w:rsidRDefault="008D4D53" w:rsidP="007D7B84">
            <w:pPr>
              <w:jc w:val="both"/>
              <w:rPr>
                <w:rFonts w:cstheme="minorHAnsi"/>
                <w:b/>
              </w:rPr>
            </w:pPr>
            <w:r w:rsidRPr="00116559">
              <w:rPr>
                <w:rFonts w:cstheme="minorHAnsi"/>
                <w:b/>
              </w:rPr>
              <w:t>Debt Sponsor &amp; Designated Person</w:t>
            </w:r>
          </w:p>
        </w:tc>
        <w:tc>
          <w:tcPr>
            <w:tcW w:w="4394" w:type="dxa"/>
            <w:shd w:val="clear" w:color="auto" w:fill="FFFFFF" w:themeFill="background1"/>
          </w:tcPr>
          <w:p w14:paraId="6CFF6766" w14:textId="5B350FBB" w:rsidR="008D4D53" w:rsidRPr="00116559" w:rsidRDefault="00B73DCE" w:rsidP="007D7B84">
            <w:pPr>
              <w:jc w:val="both"/>
              <w:rPr>
                <w:rFonts w:cstheme="minorHAnsi"/>
                <w:b/>
              </w:rPr>
            </w:pPr>
            <w:r w:rsidRPr="00116559">
              <w:rPr>
                <w:rFonts w:cstheme="minorHAnsi"/>
                <w:b/>
              </w:rPr>
              <w:t>Timing of Annual Confirmation</w:t>
            </w:r>
          </w:p>
          <w:p w14:paraId="1DA96A57" w14:textId="47EA222D" w:rsidR="00252A18" w:rsidRPr="00116559" w:rsidRDefault="00C129B9" w:rsidP="007D7B84">
            <w:pPr>
              <w:jc w:val="both"/>
              <w:rPr>
                <w:rFonts w:cstheme="minorHAnsi"/>
                <w:b/>
              </w:rPr>
            </w:pPr>
            <w:r w:rsidRPr="00116559">
              <w:rPr>
                <w:rFonts w:cstheme="minorHAnsi"/>
                <w:b/>
              </w:rPr>
              <w:t xml:space="preserve">Schedule 3 - </w:t>
            </w:r>
            <w:r w:rsidR="00252A18" w:rsidRPr="00116559">
              <w:rPr>
                <w:rFonts w:cstheme="minorHAnsi"/>
                <w:b/>
              </w:rPr>
              <w:t>Paragraph 3.13</w:t>
            </w:r>
          </w:p>
          <w:p w14:paraId="2056814D" w14:textId="77777777" w:rsidR="00C66133" w:rsidRPr="00116559" w:rsidRDefault="00C66133" w:rsidP="007D7B84">
            <w:pPr>
              <w:jc w:val="both"/>
              <w:rPr>
                <w:rFonts w:cstheme="minorHAnsi"/>
                <w:b/>
              </w:rPr>
            </w:pPr>
          </w:p>
          <w:p w14:paraId="5404C921" w14:textId="4B1DDE87" w:rsidR="00C66133" w:rsidRPr="00116559" w:rsidRDefault="00C66133" w:rsidP="007D7B84">
            <w:pPr>
              <w:jc w:val="both"/>
              <w:rPr>
                <w:rFonts w:cstheme="minorHAnsi"/>
                <w:bCs/>
              </w:rPr>
            </w:pPr>
            <w:r w:rsidRPr="00116559">
              <w:rPr>
                <w:rFonts w:cstheme="minorHAnsi"/>
                <w:bCs/>
              </w:rPr>
              <w:t xml:space="preserve">The JSE intends to amend the Requirements to </w:t>
            </w:r>
            <w:r w:rsidR="00B73DCE" w:rsidRPr="00116559">
              <w:rPr>
                <w:rFonts w:cstheme="minorHAnsi"/>
                <w:bCs/>
              </w:rPr>
              <w:t xml:space="preserve">clarify the timing of the submission of the annual confirmation on the basis that there is no annual subscription payable to the JSE. </w:t>
            </w:r>
          </w:p>
          <w:p w14:paraId="56B30CAA" w14:textId="4BB75A02" w:rsidR="00C66133" w:rsidRPr="00116559" w:rsidRDefault="00C66133" w:rsidP="007D7B84">
            <w:pPr>
              <w:jc w:val="both"/>
              <w:rPr>
                <w:rFonts w:cstheme="minorHAnsi"/>
                <w:b/>
              </w:rPr>
            </w:pPr>
          </w:p>
        </w:tc>
        <w:tc>
          <w:tcPr>
            <w:tcW w:w="5670" w:type="dxa"/>
            <w:shd w:val="clear" w:color="auto" w:fill="FFFFFF" w:themeFill="background1"/>
          </w:tcPr>
          <w:p w14:paraId="2DF9A88E" w14:textId="53EEB21D" w:rsidR="00B36AFB" w:rsidRPr="00116559" w:rsidRDefault="00C66133" w:rsidP="007D7B84">
            <w:pPr>
              <w:jc w:val="both"/>
              <w:rPr>
                <w:rFonts w:cstheme="minorHAnsi"/>
              </w:rPr>
            </w:pPr>
            <w:r w:rsidRPr="00116559">
              <w:rPr>
                <w:rFonts w:cstheme="minorHAnsi"/>
                <w:bCs/>
              </w:rPr>
              <w:t>There is no annual subscription fee for a debt sponsor, as such the</w:t>
            </w:r>
            <w:r w:rsidR="00B73DCE" w:rsidRPr="00116559">
              <w:rPr>
                <w:rFonts w:cstheme="minorHAnsi"/>
                <w:bCs/>
              </w:rPr>
              <w:t xml:space="preserve"> timing of the submission of the annual confirmation to the JSE must be clarified</w:t>
            </w:r>
            <w:r w:rsidRPr="00116559">
              <w:rPr>
                <w:rFonts w:cstheme="minorHAnsi"/>
                <w:bCs/>
              </w:rPr>
              <w:t xml:space="preserve">. </w:t>
            </w:r>
          </w:p>
        </w:tc>
      </w:tr>
    </w:tbl>
    <w:p w14:paraId="59660F69" w14:textId="79EBE9C2" w:rsidR="004D113E" w:rsidRDefault="004D113E" w:rsidP="007D185F">
      <w:pPr>
        <w:jc w:val="center"/>
        <w:rPr>
          <w:rFonts w:cstheme="minorHAnsi"/>
          <w:b/>
          <w:lang w:val="en-ZA"/>
        </w:rPr>
      </w:pPr>
    </w:p>
    <w:p w14:paraId="6A73A8EA" w14:textId="1C06C088" w:rsidR="00634839" w:rsidRPr="00116559" w:rsidRDefault="00634839" w:rsidP="007D185F">
      <w:pPr>
        <w:jc w:val="center"/>
        <w:rPr>
          <w:rFonts w:cstheme="minorHAnsi"/>
          <w:b/>
          <w:lang w:val="en-ZA"/>
        </w:rPr>
      </w:pPr>
      <w:r>
        <w:rPr>
          <w:rFonts w:cstheme="minorHAnsi"/>
          <w:b/>
          <w:lang w:val="en-ZA"/>
        </w:rPr>
        <w:t>~END~</w:t>
      </w:r>
    </w:p>
    <w:sectPr w:rsidR="00634839" w:rsidRPr="00116559" w:rsidSect="007D7B8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2B94" w14:textId="77777777" w:rsidR="00C33DD2" w:rsidRDefault="00C33DD2" w:rsidP="000975C5">
      <w:pPr>
        <w:spacing w:after="0" w:line="240" w:lineRule="auto"/>
      </w:pPr>
      <w:r>
        <w:separator/>
      </w:r>
    </w:p>
  </w:endnote>
  <w:endnote w:type="continuationSeparator" w:id="0">
    <w:p w14:paraId="67E4F777" w14:textId="77777777" w:rsidR="00C33DD2" w:rsidRDefault="00C33DD2" w:rsidP="000975C5">
      <w:pPr>
        <w:spacing w:after="0" w:line="240" w:lineRule="auto"/>
      </w:pPr>
      <w:r>
        <w:continuationSeparator/>
      </w:r>
    </w:p>
  </w:endnote>
  <w:endnote w:type="continuationNotice" w:id="1">
    <w:p w14:paraId="6C132665" w14:textId="77777777" w:rsidR="00C33DD2" w:rsidRDefault="00C33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78778"/>
      <w:docPartObj>
        <w:docPartGallery w:val="Page Numbers (Bottom of Page)"/>
        <w:docPartUnique/>
      </w:docPartObj>
    </w:sdtPr>
    <w:sdtEndPr>
      <w:rPr>
        <w:noProof/>
      </w:rPr>
    </w:sdtEndPr>
    <w:sdtContent>
      <w:p w14:paraId="5FE8D911" w14:textId="2C38BEFF" w:rsidR="00400E3E" w:rsidRDefault="00400E3E">
        <w:pPr>
          <w:pStyle w:val="Footer"/>
          <w:jc w:val="right"/>
        </w:pPr>
        <w:r>
          <w:fldChar w:fldCharType="begin"/>
        </w:r>
        <w:r>
          <w:instrText xml:space="preserve"> PAGE   \* MERGEFORMAT </w:instrText>
        </w:r>
        <w:r>
          <w:fldChar w:fldCharType="separate"/>
        </w:r>
        <w:r w:rsidR="00E909A9">
          <w:rPr>
            <w:noProof/>
          </w:rPr>
          <w:t>6</w:t>
        </w:r>
        <w:r>
          <w:rPr>
            <w:noProof/>
          </w:rPr>
          <w:fldChar w:fldCharType="end"/>
        </w:r>
      </w:p>
    </w:sdtContent>
  </w:sdt>
  <w:p w14:paraId="02DC3AF2" w14:textId="77777777" w:rsidR="00400E3E" w:rsidRDefault="0040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CFA2" w14:textId="77777777" w:rsidR="00C33DD2" w:rsidRDefault="00C33DD2" w:rsidP="000975C5">
      <w:pPr>
        <w:spacing w:after="0" w:line="240" w:lineRule="auto"/>
      </w:pPr>
      <w:r>
        <w:separator/>
      </w:r>
    </w:p>
  </w:footnote>
  <w:footnote w:type="continuationSeparator" w:id="0">
    <w:p w14:paraId="5D61B0BF" w14:textId="77777777" w:rsidR="00C33DD2" w:rsidRDefault="00C33DD2" w:rsidP="000975C5">
      <w:pPr>
        <w:spacing w:after="0" w:line="240" w:lineRule="auto"/>
      </w:pPr>
      <w:r>
        <w:continuationSeparator/>
      </w:r>
    </w:p>
  </w:footnote>
  <w:footnote w:type="continuationNotice" w:id="1">
    <w:p w14:paraId="62BC9C5C" w14:textId="77777777" w:rsidR="00C33DD2" w:rsidRDefault="00C33D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5pt;height:85.5pt" o:bullet="t">
        <v:imagedata r:id="rId1" o:title="art5D6F"/>
      </v:shape>
    </w:pict>
  </w:numPicBullet>
  <w:abstractNum w:abstractNumId="0" w15:restartNumberingAfterBreak="0">
    <w:nsid w:val="01BE75FF"/>
    <w:multiLevelType w:val="hybridMultilevel"/>
    <w:tmpl w:val="DE9C9168"/>
    <w:lvl w:ilvl="0" w:tplc="C5AE2B18">
      <w:start w:val="1"/>
      <w:numFmt w:val="lowerRoman"/>
      <w:lvlText w:val="(%1)"/>
      <w:lvlJc w:val="left"/>
      <w:pPr>
        <w:ind w:left="1800" w:hanging="360"/>
      </w:pPr>
      <w:rPr>
        <w:rFonts w:ascii="Verdana" w:eastAsia="Times New Roman" w:hAnsi="Verdana" w:cstheme="minorHAns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B4282"/>
    <w:multiLevelType w:val="hybridMultilevel"/>
    <w:tmpl w:val="6E981E7A"/>
    <w:lvl w:ilvl="0" w:tplc="EB7239CA">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82CCA"/>
    <w:multiLevelType w:val="hybridMultilevel"/>
    <w:tmpl w:val="9D80D85C"/>
    <w:lvl w:ilvl="0" w:tplc="83D8652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0F6449"/>
    <w:multiLevelType w:val="hybridMultilevel"/>
    <w:tmpl w:val="DC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072A0"/>
    <w:multiLevelType w:val="hybridMultilevel"/>
    <w:tmpl w:val="839210F0"/>
    <w:lvl w:ilvl="0" w:tplc="213A39E8">
      <w:start w:val="1"/>
      <w:numFmt w:val="bullet"/>
      <w:lvlText w:val=""/>
      <w:lvlPicBulletId w:val="0"/>
      <w:lvlJc w:val="left"/>
      <w:pPr>
        <w:tabs>
          <w:tab w:val="num" w:pos="720"/>
        </w:tabs>
        <w:ind w:left="720" w:hanging="360"/>
      </w:pPr>
      <w:rPr>
        <w:rFonts w:ascii="Symbol" w:hAnsi="Symbol" w:hint="default"/>
      </w:rPr>
    </w:lvl>
    <w:lvl w:ilvl="1" w:tplc="FA9CF688">
      <w:start w:val="1"/>
      <w:numFmt w:val="bullet"/>
      <w:lvlText w:val=""/>
      <w:lvlPicBulletId w:val="0"/>
      <w:lvlJc w:val="left"/>
      <w:pPr>
        <w:tabs>
          <w:tab w:val="num" w:pos="1440"/>
        </w:tabs>
        <w:ind w:left="1440" w:hanging="360"/>
      </w:pPr>
      <w:rPr>
        <w:rFonts w:ascii="Symbol" w:hAnsi="Symbol" w:hint="default"/>
      </w:rPr>
    </w:lvl>
    <w:lvl w:ilvl="2" w:tplc="63FAD916" w:tentative="1">
      <w:start w:val="1"/>
      <w:numFmt w:val="bullet"/>
      <w:lvlText w:val=""/>
      <w:lvlPicBulletId w:val="0"/>
      <w:lvlJc w:val="left"/>
      <w:pPr>
        <w:tabs>
          <w:tab w:val="num" w:pos="2160"/>
        </w:tabs>
        <w:ind w:left="2160" w:hanging="360"/>
      </w:pPr>
      <w:rPr>
        <w:rFonts w:ascii="Symbol" w:hAnsi="Symbol" w:hint="default"/>
      </w:rPr>
    </w:lvl>
    <w:lvl w:ilvl="3" w:tplc="AAF874E2" w:tentative="1">
      <w:start w:val="1"/>
      <w:numFmt w:val="bullet"/>
      <w:lvlText w:val=""/>
      <w:lvlPicBulletId w:val="0"/>
      <w:lvlJc w:val="left"/>
      <w:pPr>
        <w:tabs>
          <w:tab w:val="num" w:pos="2880"/>
        </w:tabs>
        <w:ind w:left="2880" w:hanging="360"/>
      </w:pPr>
      <w:rPr>
        <w:rFonts w:ascii="Symbol" w:hAnsi="Symbol" w:hint="default"/>
      </w:rPr>
    </w:lvl>
    <w:lvl w:ilvl="4" w:tplc="78CC97DA" w:tentative="1">
      <w:start w:val="1"/>
      <w:numFmt w:val="bullet"/>
      <w:lvlText w:val=""/>
      <w:lvlPicBulletId w:val="0"/>
      <w:lvlJc w:val="left"/>
      <w:pPr>
        <w:tabs>
          <w:tab w:val="num" w:pos="3600"/>
        </w:tabs>
        <w:ind w:left="3600" w:hanging="360"/>
      </w:pPr>
      <w:rPr>
        <w:rFonts w:ascii="Symbol" w:hAnsi="Symbol" w:hint="default"/>
      </w:rPr>
    </w:lvl>
    <w:lvl w:ilvl="5" w:tplc="05B4341C" w:tentative="1">
      <w:start w:val="1"/>
      <w:numFmt w:val="bullet"/>
      <w:lvlText w:val=""/>
      <w:lvlPicBulletId w:val="0"/>
      <w:lvlJc w:val="left"/>
      <w:pPr>
        <w:tabs>
          <w:tab w:val="num" w:pos="4320"/>
        </w:tabs>
        <w:ind w:left="4320" w:hanging="360"/>
      </w:pPr>
      <w:rPr>
        <w:rFonts w:ascii="Symbol" w:hAnsi="Symbol" w:hint="default"/>
      </w:rPr>
    </w:lvl>
    <w:lvl w:ilvl="6" w:tplc="8F5EAEAC" w:tentative="1">
      <w:start w:val="1"/>
      <w:numFmt w:val="bullet"/>
      <w:lvlText w:val=""/>
      <w:lvlPicBulletId w:val="0"/>
      <w:lvlJc w:val="left"/>
      <w:pPr>
        <w:tabs>
          <w:tab w:val="num" w:pos="5040"/>
        </w:tabs>
        <w:ind w:left="5040" w:hanging="360"/>
      </w:pPr>
      <w:rPr>
        <w:rFonts w:ascii="Symbol" w:hAnsi="Symbol" w:hint="default"/>
      </w:rPr>
    </w:lvl>
    <w:lvl w:ilvl="7" w:tplc="7D42DC48" w:tentative="1">
      <w:start w:val="1"/>
      <w:numFmt w:val="bullet"/>
      <w:lvlText w:val=""/>
      <w:lvlPicBulletId w:val="0"/>
      <w:lvlJc w:val="left"/>
      <w:pPr>
        <w:tabs>
          <w:tab w:val="num" w:pos="5760"/>
        </w:tabs>
        <w:ind w:left="5760" w:hanging="360"/>
      </w:pPr>
      <w:rPr>
        <w:rFonts w:ascii="Symbol" w:hAnsi="Symbol" w:hint="default"/>
      </w:rPr>
    </w:lvl>
    <w:lvl w:ilvl="8" w:tplc="3C445AF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A64431E"/>
    <w:multiLevelType w:val="hybridMultilevel"/>
    <w:tmpl w:val="25FC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06751"/>
    <w:multiLevelType w:val="hybridMultilevel"/>
    <w:tmpl w:val="A47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E5061"/>
    <w:multiLevelType w:val="hybridMultilevel"/>
    <w:tmpl w:val="2020D4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095798"/>
    <w:multiLevelType w:val="hybridMultilevel"/>
    <w:tmpl w:val="1CBA5F30"/>
    <w:lvl w:ilvl="0" w:tplc="4DFE99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92376F3"/>
    <w:multiLevelType w:val="hybridMultilevel"/>
    <w:tmpl w:val="20360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9A754B8"/>
    <w:multiLevelType w:val="hybridMultilevel"/>
    <w:tmpl w:val="B768C0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C348A9"/>
    <w:multiLevelType w:val="hybridMultilevel"/>
    <w:tmpl w:val="97589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F262FB5"/>
    <w:multiLevelType w:val="hybridMultilevel"/>
    <w:tmpl w:val="04B05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2B119C3"/>
    <w:multiLevelType w:val="hybridMultilevel"/>
    <w:tmpl w:val="4BB4B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6F83602"/>
    <w:multiLevelType w:val="hybridMultilevel"/>
    <w:tmpl w:val="3FE82E1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DF308B"/>
    <w:multiLevelType w:val="hybridMultilevel"/>
    <w:tmpl w:val="9BC2F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3F0DAC"/>
    <w:multiLevelType w:val="hybridMultilevel"/>
    <w:tmpl w:val="B0CC2944"/>
    <w:lvl w:ilvl="0" w:tplc="7AD49C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085271B"/>
    <w:multiLevelType w:val="hybridMultilevel"/>
    <w:tmpl w:val="704A58D6"/>
    <w:lvl w:ilvl="0" w:tplc="964E9BD2">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250251"/>
    <w:multiLevelType w:val="hybridMultilevel"/>
    <w:tmpl w:val="C9BCD6F4"/>
    <w:lvl w:ilvl="0" w:tplc="F6E2067E">
      <w:start w:val="1"/>
      <w:numFmt w:val="lowerLetter"/>
      <w:lvlText w:val="(%1)"/>
      <w:lvlJc w:val="left"/>
      <w:pPr>
        <w:ind w:left="1154" w:hanging="360"/>
      </w:pPr>
      <w:rPr>
        <w:rFonts w:ascii="Verdana" w:eastAsia="Times" w:hAnsi="Verdana" w:cs="Arial"/>
      </w:rPr>
    </w:lvl>
    <w:lvl w:ilvl="1" w:tplc="1C090019">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19" w15:restartNumberingAfterBreak="0">
    <w:nsid w:val="343F00E6"/>
    <w:multiLevelType w:val="hybridMultilevel"/>
    <w:tmpl w:val="518CE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4A078E"/>
    <w:multiLevelType w:val="hybridMultilevel"/>
    <w:tmpl w:val="AE184C4E"/>
    <w:lvl w:ilvl="0" w:tplc="FF3ADD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27D7648"/>
    <w:multiLevelType w:val="hybridMultilevel"/>
    <w:tmpl w:val="E8DCC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4507218"/>
    <w:multiLevelType w:val="hybridMultilevel"/>
    <w:tmpl w:val="993E6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5E23561"/>
    <w:multiLevelType w:val="hybridMultilevel"/>
    <w:tmpl w:val="1DEA13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8147114"/>
    <w:multiLevelType w:val="hybridMultilevel"/>
    <w:tmpl w:val="E8C8EE24"/>
    <w:lvl w:ilvl="0" w:tplc="B802A900">
      <w:start w:val="10"/>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8384D6A"/>
    <w:multiLevelType w:val="hybridMultilevel"/>
    <w:tmpl w:val="053C2A1C"/>
    <w:lvl w:ilvl="0" w:tplc="9342F8D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525D6DAE"/>
    <w:multiLevelType w:val="hybridMultilevel"/>
    <w:tmpl w:val="0A4A25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5212499"/>
    <w:multiLevelType w:val="hybridMultilevel"/>
    <w:tmpl w:val="BAFA9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27C8"/>
    <w:multiLevelType w:val="hybridMultilevel"/>
    <w:tmpl w:val="322A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85C7F"/>
    <w:multiLevelType w:val="hybridMultilevel"/>
    <w:tmpl w:val="9014C28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0" w15:restartNumberingAfterBreak="0">
    <w:nsid w:val="5BD003A6"/>
    <w:multiLevelType w:val="hybridMultilevel"/>
    <w:tmpl w:val="1CBA5F30"/>
    <w:lvl w:ilvl="0" w:tplc="4DFE99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F9D4F65"/>
    <w:multiLevelType w:val="hybridMultilevel"/>
    <w:tmpl w:val="59F8D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159659B"/>
    <w:multiLevelType w:val="hybridMultilevel"/>
    <w:tmpl w:val="51940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4264503"/>
    <w:multiLevelType w:val="hybridMultilevel"/>
    <w:tmpl w:val="726E5172"/>
    <w:lvl w:ilvl="0" w:tplc="062C1B94">
      <w:start w:val="6"/>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4513C14"/>
    <w:multiLevelType w:val="hybridMultilevel"/>
    <w:tmpl w:val="1DB28066"/>
    <w:lvl w:ilvl="0" w:tplc="274CE03C">
      <w:start w:val="1"/>
      <w:numFmt w:val="lowerLetter"/>
      <w:lvlText w:val="(%1)"/>
      <w:lvlJc w:val="left"/>
      <w:pPr>
        <w:ind w:left="1150" w:hanging="7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5DA2E68"/>
    <w:multiLevelType w:val="hybridMultilevel"/>
    <w:tmpl w:val="2C46D7EE"/>
    <w:lvl w:ilvl="0" w:tplc="BC7EE7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7C129F9"/>
    <w:multiLevelType w:val="hybridMultilevel"/>
    <w:tmpl w:val="0466F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93D1E06"/>
    <w:multiLevelType w:val="hybridMultilevel"/>
    <w:tmpl w:val="410CFA92"/>
    <w:lvl w:ilvl="0" w:tplc="24D0B4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C25074C"/>
    <w:multiLevelType w:val="hybridMultilevel"/>
    <w:tmpl w:val="68E49304"/>
    <w:lvl w:ilvl="0" w:tplc="AF2807D8">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9" w15:restartNumberingAfterBreak="0">
    <w:nsid w:val="6DBC19DD"/>
    <w:multiLevelType w:val="hybridMultilevel"/>
    <w:tmpl w:val="1DB05E92"/>
    <w:lvl w:ilvl="0" w:tplc="A3E632E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2D407EC"/>
    <w:multiLevelType w:val="hybridMultilevel"/>
    <w:tmpl w:val="EB04B7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6380BAE"/>
    <w:multiLevelType w:val="hybridMultilevel"/>
    <w:tmpl w:val="E2B254B6"/>
    <w:lvl w:ilvl="0" w:tplc="18585B0A">
      <w:start w:val="1"/>
      <w:numFmt w:val="decimal"/>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C837C37"/>
    <w:multiLevelType w:val="hybridMultilevel"/>
    <w:tmpl w:val="3F7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E715E"/>
    <w:multiLevelType w:val="hybridMultilevel"/>
    <w:tmpl w:val="9F5AC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E4F75C4"/>
    <w:multiLevelType w:val="hybridMultilevel"/>
    <w:tmpl w:val="C9AED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F6A4CB2"/>
    <w:multiLevelType w:val="hybridMultilevel"/>
    <w:tmpl w:val="AD7278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24269312">
    <w:abstractNumId w:val="36"/>
  </w:num>
  <w:num w:numId="2" w16cid:durableId="1732464323">
    <w:abstractNumId w:val="27"/>
  </w:num>
  <w:num w:numId="3" w16cid:durableId="1897007076">
    <w:abstractNumId w:val="28"/>
  </w:num>
  <w:num w:numId="4" w16cid:durableId="1093863632">
    <w:abstractNumId w:val="42"/>
  </w:num>
  <w:num w:numId="5" w16cid:durableId="623537496">
    <w:abstractNumId w:val="5"/>
  </w:num>
  <w:num w:numId="6" w16cid:durableId="642779417">
    <w:abstractNumId w:val="32"/>
  </w:num>
  <w:num w:numId="7" w16cid:durableId="1888951430">
    <w:abstractNumId w:val="45"/>
  </w:num>
  <w:num w:numId="8" w16cid:durableId="191311304">
    <w:abstractNumId w:val="6"/>
  </w:num>
  <w:num w:numId="9" w16cid:durableId="1879318156">
    <w:abstractNumId w:val="3"/>
  </w:num>
  <w:num w:numId="10" w16cid:durableId="1511027431">
    <w:abstractNumId w:val="26"/>
  </w:num>
  <w:num w:numId="11" w16cid:durableId="1212234630">
    <w:abstractNumId w:val="13"/>
  </w:num>
  <w:num w:numId="12" w16cid:durableId="2001352322">
    <w:abstractNumId w:val="8"/>
  </w:num>
  <w:num w:numId="13" w16cid:durableId="1881168894">
    <w:abstractNumId w:val="30"/>
  </w:num>
  <w:num w:numId="14" w16cid:durableId="1599947523">
    <w:abstractNumId w:val="40"/>
  </w:num>
  <w:num w:numId="15" w16cid:durableId="1841920367">
    <w:abstractNumId w:val="7"/>
  </w:num>
  <w:num w:numId="16" w16cid:durableId="1311903572">
    <w:abstractNumId w:val="35"/>
  </w:num>
  <w:num w:numId="17" w16cid:durableId="553389434">
    <w:abstractNumId w:val="9"/>
  </w:num>
  <w:num w:numId="18" w16cid:durableId="998342204">
    <w:abstractNumId w:val="10"/>
  </w:num>
  <w:num w:numId="19" w16cid:durableId="1677269291">
    <w:abstractNumId w:val="41"/>
  </w:num>
  <w:num w:numId="20" w16cid:durableId="652296464">
    <w:abstractNumId w:val="1"/>
  </w:num>
  <w:num w:numId="21" w16cid:durableId="807406115">
    <w:abstractNumId w:val="4"/>
  </w:num>
  <w:num w:numId="22" w16cid:durableId="1976064379">
    <w:abstractNumId w:val="37"/>
  </w:num>
  <w:num w:numId="23" w16cid:durableId="411435073">
    <w:abstractNumId w:val="20"/>
  </w:num>
  <w:num w:numId="24" w16cid:durableId="464004675">
    <w:abstractNumId w:val="25"/>
  </w:num>
  <w:num w:numId="25" w16cid:durableId="401411371">
    <w:abstractNumId w:val="22"/>
  </w:num>
  <w:num w:numId="26" w16cid:durableId="811865778">
    <w:abstractNumId w:val="31"/>
  </w:num>
  <w:num w:numId="27" w16cid:durableId="1975796108">
    <w:abstractNumId w:val="11"/>
  </w:num>
  <w:num w:numId="28" w16cid:durableId="926353684">
    <w:abstractNumId w:val="15"/>
  </w:num>
  <w:num w:numId="29" w16cid:durableId="2033146869">
    <w:abstractNumId w:val="23"/>
  </w:num>
  <w:num w:numId="30" w16cid:durableId="1766459429">
    <w:abstractNumId w:val="43"/>
  </w:num>
  <w:num w:numId="31" w16cid:durableId="323358508">
    <w:abstractNumId w:val="19"/>
  </w:num>
  <w:num w:numId="32" w16cid:durableId="1082601838">
    <w:abstractNumId w:val="29"/>
  </w:num>
  <w:num w:numId="33" w16cid:durableId="90784885">
    <w:abstractNumId w:val="44"/>
  </w:num>
  <w:num w:numId="34" w16cid:durableId="1195581133">
    <w:abstractNumId w:val="14"/>
  </w:num>
  <w:num w:numId="35" w16cid:durableId="1479108304">
    <w:abstractNumId w:val="12"/>
  </w:num>
  <w:num w:numId="36" w16cid:durableId="1760523311">
    <w:abstractNumId w:val="21"/>
  </w:num>
  <w:num w:numId="37" w16cid:durableId="314996811">
    <w:abstractNumId w:val="38"/>
  </w:num>
  <w:num w:numId="38" w16cid:durableId="1091656794">
    <w:abstractNumId w:val="18"/>
  </w:num>
  <w:num w:numId="39" w16cid:durableId="1102871668">
    <w:abstractNumId w:val="34"/>
  </w:num>
  <w:num w:numId="40" w16cid:durableId="1343819712">
    <w:abstractNumId w:val="17"/>
  </w:num>
  <w:num w:numId="41" w16cid:durableId="1787311641">
    <w:abstractNumId w:val="2"/>
  </w:num>
  <w:num w:numId="42" w16cid:durableId="1423792674">
    <w:abstractNumId w:val="0"/>
  </w:num>
  <w:num w:numId="43" w16cid:durableId="1734886499">
    <w:abstractNumId w:val="16"/>
  </w:num>
  <w:num w:numId="44" w16cid:durableId="619730205">
    <w:abstractNumId w:val="33"/>
  </w:num>
  <w:num w:numId="45" w16cid:durableId="906189886">
    <w:abstractNumId w:val="39"/>
  </w:num>
  <w:num w:numId="46" w16cid:durableId="9351350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86"/>
    <w:rsid w:val="0000288A"/>
    <w:rsid w:val="00003AEC"/>
    <w:rsid w:val="000041C6"/>
    <w:rsid w:val="00005DA9"/>
    <w:rsid w:val="00006BB6"/>
    <w:rsid w:val="00010E54"/>
    <w:rsid w:val="000118F7"/>
    <w:rsid w:val="00011FFA"/>
    <w:rsid w:val="0001460E"/>
    <w:rsid w:val="00020478"/>
    <w:rsid w:val="0002202A"/>
    <w:rsid w:val="00022D0C"/>
    <w:rsid w:val="00023956"/>
    <w:rsid w:val="00027259"/>
    <w:rsid w:val="000273B2"/>
    <w:rsid w:val="00031964"/>
    <w:rsid w:val="00035084"/>
    <w:rsid w:val="00037A3D"/>
    <w:rsid w:val="00043557"/>
    <w:rsid w:val="000470F0"/>
    <w:rsid w:val="00051E70"/>
    <w:rsid w:val="00052888"/>
    <w:rsid w:val="00053D41"/>
    <w:rsid w:val="000608F0"/>
    <w:rsid w:val="000818B5"/>
    <w:rsid w:val="00083287"/>
    <w:rsid w:val="00083992"/>
    <w:rsid w:val="00084813"/>
    <w:rsid w:val="000861BB"/>
    <w:rsid w:val="00087217"/>
    <w:rsid w:val="0009070C"/>
    <w:rsid w:val="000930F9"/>
    <w:rsid w:val="000934A7"/>
    <w:rsid w:val="00096FC9"/>
    <w:rsid w:val="000975C5"/>
    <w:rsid w:val="000A15F7"/>
    <w:rsid w:val="000A3847"/>
    <w:rsid w:val="000A3BE3"/>
    <w:rsid w:val="000A46D3"/>
    <w:rsid w:val="000B18AD"/>
    <w:rsid w:val="000C0824"/>
    <w:rsid w:val="000C0C7C"/>
    <w:rsid w:val="000C5A89"/>
    <w:rsid w:val="000C64DD"/>
    <w:rsid w:val="000C6A8B"/>
    <w:rsid w:val="000D4801"/>
    <w:rsid w:val="000D5145"/>
    <w:rsid w:val="000E1832"/>
    <w:rsid w:val="000E1BA9"/>
    <w:rsid w:val="000E277D"/>
    <w:rsid w:val="000E51CE"/>
    <w:rsid w:val="000E685A"/>
    <w:rsid w:val="000F1F94"/>
    <w:rsid w:val="000F2D17"/>
    <w:rsid w:val="000F5ADA"/>
    <w:rsid w:val="000F70B8"/>
    <w:rsid w:val="00100625"/>
    <w:rsid w:val="001025A9"/>
    <w:rsid w:val="0010378E"/>
    <w:rsid w:val="00103D53"/>
    <w:rsid w:val="00104CC4"/>
    <w:rsid w:val="00106DDE"/>
    <w:rsid w:val="0011144F"/>
    <w:rsid w:val="00116559"/>
    <w:rsid w:val="0011693A"/>
    <w:rsid w:val="00120DB0"/>
    <w:rsid w:val="00120E62"/>
    <w:rsid w:val="0012408E"/>
    <w:rsid w:val="00136A14"/>
    <w:rsid w:val="00144EB5"/>
    <w:rsid w:val="00153192"/>
    <w:rsid w:val="00155F8C"/>
    <w:rsid w:val="001577A4"/>
    <w:rsid w:val="0015797F"/>
    <w:rsid w:val="00160165"/>
    <w:rsid w:val="00162806"/>
    <w:rsid w:val="0016368E"/>
    <w:rsid w:val="001643F6"/>
    <w:rsid w:val="00166D21"/>
    <w:rsid w:val="0017026C"/>
    <w:rsid w:val="00170ADD"/>
    <w:rsid w:val="00175966"/>
    <w:rsid w:val="00177C43"/>
    <w:rsid w:val="0018015F"/>
    <w:rsid w:val="001923C7"/>
    <w:rsid w:val="001A248E"/>
    <w:rsid w:val="001A3009"/>
    <w:rsid w:val="001A4290"/>
    <w:rsid w:val="001A4A78"/>
    <w:rsid w:val="001A6474"/>
    <w:rsid w:val="001A6FC2"/>
    <w:rsid w:val="001B0352"/>
    <w:rsid w:val="001B177B"/>
    <w:rsid w:val="001B31F0"/>
    <w:rsid w:val="001B5725"/>
    <w:rsid w:val="001B583A"/>
    <w:rsid w:val="001B5F65"/>
    <w:rsid w:val="001B710F"/>
    <w:rsid w:val="001C3FA0"/>
    <w:rsid w:val="001C43B3"/>
    <w:rsid w:val="001C4E85"/>
    <w:rsid w:val="001C7499"/>
    <w:rsid w:val="001C78FF"/>
    <w:rsid w:val="001D2C61"/>
    <w:rsid w:val="001E4E67"/>
    <w:rsid w:val="001F1334"/>
    <w:rsid w:val="001F268E"/>
    <w:rsid w:val="001F413F"/>
    <w:rsid w:val="001F7779"/>
    <w:rsid w:val="0020565D"/>
    <w:rsid w:val="002118D5"/>
    <w:rsid w:val="00214F97"/>
    <w:rsid w:val="002150E0"/>
    <w:rsid w:val="00220F9D"/>
    <w:rsid w:val="00224153"/>
    <w:rsid w:val="002266F3"/>
    <w:rsid w:val="002275A1"/>
    <w:rsid w:val="002277E4"/>
    <w:rsid w:val="00227B5F"/>
    <w:rsid w:val="00235076"/>
    <w:rsid w:val="002416E9"/>
    <w:rsid w:val="00241D29"/>
    <w:rsid w:val="00244650"/>
    <w:rsid w:val="00244788"/>
    <w:rsid w:val="00246534"/>
    <w:rsid w:val="002501D6"/>
    <w:rsid w:val="00250A60"/>
    <w:rsid w:val="0025173A"/>
    <w:rsid w:val="002523D5"/>
    <w:rsid w:val="00252A18"/>
    <w:rsid w:val="00252AFC"/>
    <w:rsid w:val="0025365F"/>
    <w:rsid w:val="002545FA"/>
    <w:rsid w:val="00256102"/>
    <w:rsid w:val="00260580"/>
    <w:rsid w:val="00260F27"/>
    <w:rsid w:val="002618D1"/>
    <w:rsid w:val="0026581D"/>
    <w:rsid w:val="002716AA"/>
    <w:rsid w:val="00276D6C"/>
    <w:rsid w:val="002800B3"/>
    <w:rsid w:val="00280B39"/>
    <w:rsid w:val="002863BB"/>
    <w:rsid w:val="002873DA"/>
    <w:rsid w:val="00290889"/>
    <w:rsid w:val="0029175F"/>
    <w:rsid w:val="00296B03"/>
    <w:rsid w:val="0029782E"/>
    <w:rsid w:val="002A17F2"/>
    <w:rsid w:val="002A1B80"/>
    <w:rsid w:val="002A38DE"/>
    <w:rsid w:val="002A3DEF"/>
    <w:rsid w:val="002A47D8"/>
    <w:rsid w:val="002A4D29"/>
    <w:rsid w:val="002A7082"/>
    <w:rsid w:val="002B15EE"/>
    <w:rsid w:val="002B1767"/>
    <w:rsid w:val="002B1AEE"/>
    <w:rsid w:val="002B36EC"/>
    <w:rsid w:val="002B4FEA"/>
    <w:rsid w:val="002C0988"/>
    <w:rsid w:val="002C2400"/>
    <w:rsid w:val="002C30B3"/>
    <w:rsid w:val="002D1216"/>
    <w:rsid w:val="002D3CC9"/>
    <w:rsid w:val="002D459C"/>
    <w:rsid w:val="002D4D81"/>
    <w:rsid w:val="002E3752"/>
    <w:rsid w:val="002E4FF0"/>
    <w:rsid w:val="002E56C4"/>
    <w:rsid w:val="002E7DAC"/>
    <w:rsid w:val="002F1A1A"/>
    <w:rsid w:val="002F2A52"/>
    <w:rsid w:val="002F5560"/>
    <w:rsid w:val="002F7E82"/>
    <w:rsid w:val="00300E23"/>
    <w:rsid w:val="003053EB"/>
    <w:rsid w:val="00311583"/>
    <w:rsid w:val="00311FEE"/>
    <w:rsid w:val="0031400C"/>
    <w:rsid w:val="003166BC"/>
    <w:rsid w:val="0032115F"/>
    <w:rsid w:val="00321454"/>
    <w:rsid w:val="00322E2E"/>
    <w:rsid w:val="00322F42"/>
    <w:rsid w:val="003259F9"/>
    <w:rsid w:val="0032613D"/>
    <w:rsid w:val="00327589"/>
    <w:rsid w:val="00327FF7"/>
    <w:rsid w:val="00331D57"/>
    <w:rsid w:val="00336357"/>
    <w:rsid w:val="0033690E"/>
    <w:rsid w:val="00341CB6"/>
    <w:rsid w:val="003436B3"/>
    <w:rsid w:val="0035163D"/>
    <w:rsid w:val="0035296F"/>
    <w:rsid w:val="00353CC2"/>
    <w:rsid w:val="00353DB1"/>
    <w:rsid w:val="003567D6"/>
    <w:rsid w:val="003578D4"/>
    <w:rsid w:val="00361644"/>
    <w:rsid w:val="00365DD8"/>
    <w:rsid w:val="0036715B"/>
    <w:rsid w:val="003671F4"/>
    <w:rsid w:val="0037283F"/>
    <w:rsid w:val="00372F3B"/>
    <w:rsid w:val="00380743"/>
    <w:rsid w:val="00382EB8"/>
    <w:rsid w:val="003878DE"/>
    <w:rsid w:val="00397EB1"/>
    <w:rsid w:val="003A0FC1"/>
    <w:rsid w:val="003A5104"/>
    <w:rsid w:val="003A5418"/>
    <w:rsid w:val="003A6D30"/>
    <w:rsid w:val="003A7111"/>
    <w:rsid w:val="003B0C29"/>
    <w:rsid w:val="003B5462"/>
    <w:rsid w:val="003B5CBC"/>
    <w:rsid w:val="003B62EA"/>
    <w:rsid w:val="003B7350"/>
    <w:rsid w:val="003B7626"/>
    <w:rsid w:val="003B7F5C"/>
    <w:rsid w:val="003D362B"/>
    <w:rsid w:val="003D49CC"/>
    <w:rsid w:val="003D57BE"/>
    <w:rsid w:val="003D7402"/>
    <w:rsid w:val="003D767A"/>
    <w:rsid w:val="003E0CD9"/>
    <w:rsid w:val="003E2986"/>
    <w:rsid w:val="003E453E"/>
    <w:rsid w:val="003E7C96"/>
    <w:rsid w:val="003E7CF0"/>
    <w:rsid w:val="003F25C0"/>
    <w:rsid w:val="003F3472"/>
    <w:rsid w:val="003F5A59"/>
    <w:rsid w:val="003F6678"/>
    <w:rsid w:val="00400E3E"/>
    <w:rsid w:val="004024E9"/>
    <w:rsid w:val="00412872"/>
    <w:rsid w:val="004166DA"/>
    <w:rsid w:val="004206B0"/>
    <w:rsid w:val="00420960"/>
    <w:rsid w:val="00420E7F"/>
    <w:rsid w:val="00421417"/>
    <w:rsid w:val="00421665"/>
    <w:rsid w:val="00425D6B"/>
    <w:rsid w:val="00425F5A"/>
    <w:rsid w:val="00426FB8"/>
    <w:rsid w:val="00426FE4"/>
    <w:rsid w:val="00433543"/>
    <w:rsid w:val="00433633"/>
    <w:rsid w:val="00446F55"/>
    <w:rsid w:val="004526F5"/>
    <w:rsid w:val="004559A3"/>
    <w:rsid w:val="00460457"/>
    <w:rsid w:val="00464035"/>
    <w:rsid w:val="004711D0"/>
    <w:rsid w:val="00472F5C"/>
    <w:rsid w:val="00474B46"/>
    <w:rsid w:val="0047529C"/>
    <w:rsid w:val="004800BF"/>
    <w:rsid w:val="00485C94"/>
    <w:rsid w:val="00486166"/>
    <w:rsid w:val="00486E62"/>
    <w:rsid w:val="00490FD2"/>
    <w:rsid w:val="00491FE9"/>
    <w:rsid w:val="004962CB"/>
    <w:rsid w:val="004A06AD"/>
    <w:rsid w:val="004A4D01"/>
    <w:rsid w:val="004A6202"/>
    <w:rsid w:val="004A6FE2"/>
    <w:rsid w:val="004B1CD2"/>
    <w:rsid w:val="004B4E0E"/>
    <w:rsid w:val="004C010A"/>
    <w:rsid w:val="004C262B"/>
    <w:rsid w:val="004C330A"/>
    <w:rsid w:val="004C3683"/>
    <w:rsid w:val="004C4809"/>
    <w:rsid w:val="004D113E"/>
    <w:rsid w:val="004D18EE"/>
    <w:rsid w:val="004D19FC"/>
    <w:rsid w:val="004D2EAB"/>
    <w:rsid w:val="004D49AA"/>
    <w:rsid w:val="004D5654"/>
    <w:rsid w:val="004D7BB5"/>
    <w:rsid w:val="004E23D1"/>
    <w:rsid w:val="004F06E6"/>
    <w:rsid w:val="004F0BC8"/>
    <w:rsid w:val="004F4D61"/>
    <w:rsid w:val="004F5136"/>
    <w:rsid w:val="004F5821"/>
    <w:rsid w:val="004F76F3"/>
    <w:rsid w:val="00503B86"/>
    <w:rsid w:val="00505AD4"/>
    <w:rsid w:val="00510960"/>
    <w:rsid w:val="005162D5"/>
    <w:rsid w:val="00517BE2"/>
    <w:rsid w:val="00517EDF"/>
    <w:rsid w:val="00521B58"/>
    <w:rsid w:val="005226FB"/>
    <w:rsid w:val="00522DB4"/>
    <w:rsid w:val="00523A71"/>
    <w:rsid w:val="00525D4F"/>
    <w:rsid w:val="00527782"/>
    <w:rsid w:val="00531F32"/>
    <w:rsid w:val="00533706"/>
    <w:rsid w:val="00534934"/>
    <w:rsid w:val="005350A9"/>
    <w:rsid w:val="005371E0"/>
    <w:rsid w:val="00537C26"/>
    <w:rsid w:val="00540FB2"/>
    <w:rsid w:val="005411D9"/>
    <w:rsid w:val="00542CFF"/>
    <w:rsid w:val="00545AF7"/>
    <w:rsid w:val="00554091"/>
    <w:rsid w:val="00554A10"/>
    <w:rsid w:val="005563D5"/>
    <w:rsid w:val="00560CBB"/>
    <w:rsid w:val="0056166B"/>
    <w:rsid w:val="00562921"/>
    <w:rsid w:val="00565F11"/>
    <w:rsid w:val="00567E48"/>
    <w:rsid w:val="00574B02"/>
    <w:rsid w:val="00584327"/>
    <w:rsid w:val="00584B32"/>
    <w:rsid w:val="0058704F"/>
    <w:rsid w:val="00591E34"/>
    <w:rsid w:val="00591E3D"/>
    <w:rsid w:val="00592BD7"/>
    <w:rsid w:val="005A0073"/>
    <w:rsid w:val="005A125B"/>
    <w:rsid w:val="005A1B3A"/>
    <w:rsid w:val="005A2BCB"/>
    <w:rsid w:val="005A6192"/>
    <w:rsid w:val="005B4FF2"/>
    <w:rsid w:val="005B7680"/>
    <w:rsid w:val="005C7217"/>
    <w:rsid w:val="005D37FB"/>
    <w:rsid w:val="005D4F00"/>
    <w:rsid w:val="005D5510"/>
    <w:rsid w:val="005D6030"/>
    <w:rsid w:val="005D6336"/>
    <w:rsid w:val="005E1405"/>
    <w:rsid w:val="005E40D5"/>
    <w:rsid w:val="005F3657"/>
    <w:rsid w:val="005F3AC2"/>
    <w:rsid w:val="005F4107"/>
    <w:rsid w:val="00610453"/>
    <w:rsid w:val="00614E37"/>
    <w:rsid w:val="00617C2B"/>
    <w:rsid w:val="00620391"/>
    <w:rsid w:val="00620A50"/>
    <w:rsid w:val="00622E31"/>
    <w:rsid w:val="006237F9"/>
    <w:rsid w:val="006266E2"/>
    <w:rsid w:val="006278F7"/>
    <w:rsid w:val="00627BBC"/>
    <w:rsid w:val="00634839"/>
    <w:rsid w:val="00635C33"/>
    <w:rsid w:val="00637FD7"/>
    <w:rsid w:val="00640DC5"/>
    <w:rsid w:val="006432C8"/>
    <w:rsid w:val="00647FAF"/>
    <w:rsid w:val="00650404"/>
    <w:rsid w:val="00656780"/>
    <w:rsid w:val="00656BF9"/>
    <w:rsid w:val="00661C5D"/>
    <w:rsid w:val="00662990"/>
    <w:rsid w:val="00663E01"/>
    <w:rsid w:val="006640AF"/>
    <w:rsid w:val="00664540"/>
    <w:rsid w:val="00670D61"/>
    <w:rsid w:val="00672A23"/>
    <w:rsid w:val="00674941"/>
    <w:rsid w:val="00676034"/>
    <w:rsid w:val="00677E6E"/>
    <w:rsid w:val="00686CFF"/>
    <w:rsid w:val="006A4A43"/>
    <w:rsid w:val="006A4B7F"/>
    <w:rsid w:val="006B26D8"/>
    <w:rsid w:val="006B2768"/>
    <w:rsid w:val="006B29F3"/>
    <w:rsid w:val="006B3384"/>
    <w:rsid w:val="006B3B0C"/>
    <w:rsid w:val="006B412C"/>
    <w:rsid w:val="006C2AA0"/>
    <w:rsid w:val="006C3499"/>
    <w:rsid w:val="006C467C"/>
    <w:rsid w:val="006C5B19"/>
    <w:rsid w:val="006D1305"/>
    <w:rsid w:val="006D4C56"/>
    <w:rsid w:val="006E154B"/>
    <w:rsid w:val="006E2414"/>
    <w:rsid w:val="006E2C72"/>
    <w:rsid w:val="006E4B24"/>
    <w:rsid w:val="006E607A"/>
    <w:rsid w:val="006E6A3C"/>
    <w:rsid w:val="006E7A19"/>
    <w:rsid w:val="006E7FF6"/>
    <w:rsid w:val="006F1360"/>
    <w:rsid w:val="006F7A7F"/>
    <w:rsid w:val="007050FE"/>
    <w:rsid w:val="00705F00"/>
    <w:rsid w:val="00706CB3"/>
    <w:rsid w:val="007072E8"/>
    <w:rsid w:val="007125E8"/>
    <w:rsid w:val="007128DD"/>
    <w:rsid w:val="00713DAD"/>
    <w:rsid w:val="007143D4"/>
    <w:rsid w:val="0071565D"/>
    <w:rsid w:val="00721024"/>
    <w:rsid w:val="00722A95"/>
    <w:rsid w:val="00723660"/>
    <w:rsid w:val="00724347"/>
    <w:rsid w:val="00727C61"/>
    <w:rsid w:val="007304BF"/>
    <w:rsid w:val="00732314"/>
    <w:rsid w:val="007344CB"/>
    <w:rsid w:val="007406BF"/>
    <w:rsid w:val="00740A23"/>
    <w:rsid w:val="00746772"/>
    <w:rsid w:val="007471C3"/>
    <w:rsid w:val="00750802"/>
    <w:rsid w:val="007544D4"/>
    <w:rsid w:val="007551DA"/>
    <w:rsid w:val="007600E8"/>
    <w:rsid w:val="0076066B"/>
    <w:rsid w:val="007639F0"/>
    <w:rsid w:val="00763FBA"/>
    <w:rsid w:val="00765E90"/>
    <w:rsid w:val="00767C63"/>
    <w:rsid w:val="0077029C"/>
    <w:rsid w:val="00771C6C"/>
    <w:rsid w:val="007746F1"/>
    <w:rsid w:val="007748F0"/>
    <w:rsid w:val="00774F5F"/>
    <w:rsid w:val="007755D5"/>
    <w:rsid w:val="0078510B"/>
    <w:rsid w:val="007858CC"/>
    <w:rsid w:val="00792172"/>
    <w:rsid w:val="00792218"/>
    <w:rsid w:val="00794B2C"/>
    <w:rsid w:val="007961F1"/>
    <w:rsid w:val="00797BBE"/>
    <w:rsid w:val="007A2290"/>
    <w:rsid w:val="007A31B8"/>
    <w:rsid w:val="007A4C0D"/>
    <w:rsid w:val="007B1976"/>
    <w:rsid w:val="007B4689"/>
    <w:rsid w:val="007C39F1"/>
    <w:rsid w:val="007C465D"/>
    <w:rsid w:val="007C48E2"/>
    <w:rsid w:val="007C4C9A"/>
    <w:rsid w:val="007C4E38"/>
    <w:rsid w:val="007C60D9"/>
    <w:rsid w:val="007D185F"/>
    <w:rsid w:val="007D1D93"/>
    <w:rsid w:val="007D2E8B"/>
    <w:rsid w:val="007D4900"/>
    <w:rsid w:val="007D7B84"/>
    <w:rsid w:val="007E30EC"/>
    <w:rsid w:val="007E6398"/>
    <w:rsid w:val="007E697C"/>
    <w:rsid w:val="007E776B"/>
    <w:rsid w:val="007F130B"/>
    <w:rsid w:val="007F1490"/>
    <w:rsid w:val="007F3A75"/>
    <w:rsid w:val="007F6674"/>
    <w:rsid w:val="00800B7A"/>
    <w:rsid w:val="0080114E"/>
    <w:rsid w:val="008015B3"/>
    <w:rsid w:val="0080249B"/>
    <w:rsid w:val="00803E2C"/>
    <w:rsid w:val="00805832"/>
    <w:rsid w:val="008078B1"/>
    <w:rsid w:val="00810901"/>
    <w:rsid w:val="00811F74"/>
    <w:rsid w:val="00812979"/>
    <w:rsid w:val="00820890"/>
    <w:rsid w:val="00822011"/>
    <w:rsid w:val="00824947"/>
    <w:rsid w:val="00830A70"/>
    <w:rsid w:val="00831312"/>
    <w:rsid w:val="00832951"/>
    <w:rsid w:val="00833047"/>
    <w:rsid w:val="0083355C"/>
    <w:rsid w:val="00835788"/>
    <w:rsid w:val="008360BD"/>
    <w:rsid w:val="008362A1"/>
    <w:rsid w:val="00837DAD"/>
    <w:rsid w:val="008408A9"/>
    <w:rsid w:val="00844197"/>
    <w:rsid w:val="008469CB"/>
    <w:rsid w:val="00846E15"/>
    <w:rsid w:val="00850A73"/>
    <w:rsid w:val="008516DC"/>
    <w:rsid w:val="00851C28"/>
    <w:rsid w:val="008522C5"/>
    <w:rsid w:val="00856F8B"/>
    <w:rsid w:val="00861493"/>
    <w:rsid w:val="00862EC7"/>
    <w:rsid w:val="00864510"/>
    <w:rsid w:val="00864C3D"/>
    <w:rsid w:val="008652E1"/>
    <w:rsid w:val="00871235"/>
    <w:rsid w:val="00875FD7"/>
    <w:rsid w:val="008766A6"/>
    <w:rsid w:val="0088015E"/>
    <w:rsid w:val="00881A0A"/>
    <w:rsid w:val="00881CDB"/>
    <w:rsid w:val="00882AD0"/>
    <w:rsid w:val="00882BF9"/>
    <w:rsid w:val="00882D11"/>
    <w:rsid w:val="0088365C"/>
    <w:rsid w:val="00883AC8"/>
    <w:rsid w:val="00883AFD"/>
    <w:rsid w:val="008853A8"/>
    <w:rsid w:val="00890C83"/>
    <w:rsid w:val="00893E12"/>
    <w:rsid w:val="00893ED1"/>
    <w:rsid w:val="008946D6"/>
    <w:rsid w:val="00896D5C"/>
    <w:rsid w:val="008A0BD2"/>
    <w:rsid w:val="008A12F4"/>
    <w:rsid w:val="008A293B"/>
    <w:rsid w:val="008A3D28"/>
    <w:rsid w:val="008A463B"/>
    <w:rsid w:val="008A6B1F"/>
    <w:rsid w:val="008B005A"/>
    <w:rsid w:val="008B11C8"/>
    <w:rsid w:val="008B1871"/>
    <w:rsid w:val="008B729D"/>
    <w:rsid w:val="008C7088"/>
    <w:rsid w:val="008D206F"/>
    <w:rsid w:val="008D2365"/>
    <w:rsid w:val="008D4D53"/>
    <w:rsid w:val="008D5B21"/>
    <w:rsid w:val="008D5E3B"/>
    <w:rsid w:val="008D739C"/>
    <w:rsid w:val="008E05A3"/>
    <w:rsid w:val="008E1A2C"/>
    <w:rsid w:val="008E21E7"/>
    <w:rsid w:val="008E2C9A"/>
    <w:rsid w:val="008E34CD"/>
    <w:rsid w:val="008E36C3"/>
    <w:rsid w:val="008E3BF9"/>
    <w:rsid w:val="008F1AA8"/>
    <w:rsid w:val="008F516F"/>
    <w:rsid w:val="00901213"/>
    <w:rsid w:val="009016F7"/>
    <w:rsid w:val="00902E7B"/>
    <w:rsid w:val="00904C09"/>
    <w:rsid w:val="00911FDB"/>
    <w:rsid w:val="00915260"/>
    <w:rsid w:val="009163D2"/>
    <w:rsid w:val="00916B3D"/>
    <w:rsid w:val="0092140A"/>
    <w:rsid w:val="00923465"/>
    <w:rsid w:val="00925125"/>
    <w:rsid w:val="00930986"/>
    <w:rsid w:val="00933C64"/>
    <w:rsid w:val="00935D5A"/>
    <w:rsid w:val="00946260"/>
    <w:rsid w:val="00946A3F"/>
    <w:rsid w:val="00946F7A"/>
    <w:rsid w:val="00964B7F"/>
    <w:rsid w:val="00965D21"/>
    <w:rsid w:val="00965E8E"/>
    <w:rsid w:val="0096740F"/>
    <w:rsid w:val="00973686"/>
    <w:rsid w:val="00974184"/>
    <w:rsid w:val="009812DF"/>
    <w:rsid w:val="00982240"/>
    <w:rsid w:val="00983EEF"/>
    <w:rsid w:val="0098561B"/>
    <w:rsid w:val="009872DE"/>
    <w:rsid w:val="00987C67"/>
    <w:rsid w:val="009901D5"/>
    <w:rsid w:val="0099171E"/>
    <w:rsid w:val="00991E64"/>
    <w:rsid w:val="009A540F"/>
    <w:rsid w:val="009A549C"/>
    <w:rsid w:val="009A63CD"/>
    <w:rsid w:val="009A75F6"/>
    <w:rsid w:val="009B2466"/>
    <w:rsid w:val="009B2D10"/>
    <w:rsid w:val="009B369A"/>
    <w:rsid w:val="009B4C3D"/>
    <w:rsid w:val="009B60D9"/>
    <w:rsid w:val="009C1505"/>
    <w:rsid w:val="009C18CB"/>
    <w:rsid w:val="009C56FC"/>
    <w:rsid w:val="009D00F3"/>
    <w:rsid w:val="009D0598"/>
    <w:rsid w:val="009D0E19"/>
    <w:rsid w:val="009D0E69"/>
    <w:rsid w:val="009D24CD"/>
    <w:rsid w:val="009D43BE"/>
    <w:rsid w:val="009D5B3C"/>
    <w:rsid w:val="009D6E8F"/>
    <w:rsid w:val="009E1F91"/>
    <w:rsid w:val="009E663B"/>
    <w:rsid w:val="009E671F"/>
    <w:rsid w:val="009F0F07"/>
    <w:rsid w:val="009F369B"/>
    <w:rsid w:val="009F4658"/>
    <w:rsid w:val="009F4DD3"/>
    <w:rsid w:val="009F67FC"/>
    <w:rsid w:val="009F7C86"/>
    <w:rsid w:val="009F7FE8"/>
    <w:rsid w:val="00A00A2C"/>
    <w:rsid w:val="00A0417A"/>
    <w:rsid w:val="00A046BD"/>
    <w:rsid w:val="00A048B9"/>
    <w:rsid w:val="00A06029"/>
    <w:rsid w:val="00A06382"/>
    <w:rsid w:val="00A07DFE"/>
    <w:rsid w:val="00A10F01"/>
    <w:rsid w:val="00A135D8"/>
    <w:rsid w:val="00A17556"/>
    <w:rsid w:val="00A22675"/>
    <w:rsid w:val="00A23408"/>
    <w:rsid w:val="00A240F7"/>
    <w:rsid w:val="00A256C6"/>
    <w:rsid w:val="00A27F9D"/>
    <w:rsid w:val="00A33F4F"/>
    <w:rsid w:val="00A34E36"/>
    <w:rsid w:val="00A36487"/>
    <w:rsid w:val="00A37944"/>
    <w:rsid w:val="00A4223F"/>
    <w:rsid w:val="00A43374"/>
    <w:rsid w:val="00A433C2"/>
    <w:rsid w:val="00A44502"/>
    <w:rsid w:val="00A454A2"/>
    <w:rsid w:val="00A47DCA"/>
    <w:rsid w:val="00A60A12"/>
    <w:rsid w:val="00A63DEB"/>
    <w:rsid w:val="00A66D6D"/>
    <w:rsid w:val="00A7237D"/>
    <w:rsid w:val="00A737D9"/>
    <w:rsid w:val="00A74D06"/>
    <w:rsid w:val="00A9034C"/>
    <w:rsid w:val="00A90DB4"/>
    <w:rsid w:val="00A92EA5"/>
    <w:rsid w:val="00A97C03"/>
    <w:rsid w:val="00AA073F"/>
    <w:rsid w:val="00AA1ACF"/>
    <w:rsid w:val="00AA3325"/>
    <w:rsid w:val="00AA4AEB"/>
    <w:rsid w:val="00AA5B6E"/>
    <w:rsid w:val="00AA665D"/>
    <w:rsid w:val="00AA6ECA"/>
    <w:rsid w:val="00AA794A"/>
    <w:rsid w:val="00AB3899"/>
    <w:rsid w:val="00AB4498"/>
    <w:rsid w:val="00AB688A"/>
    <w:rsid w:val="00AB72B5"/>
    <w:rsid w:val="00AC1E2D"/>
    <w:rsid w:val="00AC47E1"/>
    <w:rsid w:val="00AC5FA0"/>
    <w:rsid w:val="00AD120C"/>
    <w:rsid w:val="00AD31E8"/>
    <w:rsid w:val="00AD6269"/>
    <w:rsid w:val="00AD638A"/>
    <w:rsid w:val="00AE048D"/>
    <w:rsid w:val="00AE2EB6"/>
    <w:rsid w:val="00AE5AB1"/>
    <w:rsid w:val="00AE619B"/>
    <w:rsid w:val="00AE73CB"/>
    <w:rsid w:val="00AF04CF"/>
    <w:rsid w:val="00AF1400"/>
    <w:rsid w:val="00AF454F"/>
    <w:rsid w:val="00AF50C6"/>
    <w:rsid w:val="00AF77F2"/>
    <w:rsid w:val="00B05879"/>
    <w:rsid w:val="00B05FE4"/>
    <w:rsid w:val="00B14453"/>
    <w:rsid w:val="00B2034D"/>
    <w:rsid w:val="00B20759"/>
    <w:rsid w:val="00B2136F"/>
    <w:rsid w:val="00B22722"/>
    <w:rsid w:val="00B24BFA"/>
    <w:rsid w:val="00B270B8"/>
    <w:rsid w:val="00B27DD5"/>
    <w:rsid w:val="00B27FBB"/>
    <w:rsid w:val="00B36AFB"/>
    <w:rsid w:val="00B37036"/>
    <w:rsid w:val="00B37EB0"/>
    <w:rsid w:val="00B41357"/>
    <w:rsid w:val="00B438D4"/>
    <w:rsid w:val="00B43CE3"/>
    <w:rsid w:val="00B44BB2"/>
    <w:rsid w:val="00B45668"/>
    <w:rsid w:val="00B46366"/>
    <w:rsid w:val="00B50CFB"/>
    <w:rsid w:val="00B57EE2"/>
    <w:rsid w:val="00B6096B"/>
    <w:rsid w:val="00B60C6F"/>
    <w:rsid w:val="00B71FE8"/>
    <w:rsid w:val="00B72484"/>
    <w:rsid w:val="00B73DCE"/>
    <w:rsid w:val="00B748D1"/>
    <w:rsid w:val="00B76907"/>
    <w:rsid w:val="00B776EA"/>
    <w:rsid w:val="00B80B0A"/>
    <w:rsid w:val="00B84AFA"/>
    <w:rsid w:val="00B86FEB"/>
    <w:rsid w:val="00B90D60"/>
    <w:rsid w:val="00B911C8"/>
    <w:rsid w:val="00B956B2"/>
    <w:rsid w:val="00BA64F3"/>
    <w:rsid w:val="00BA7021"/>
    <w:rsid w:val="00BA75B4"/>
    <w:rsid w:val="00BB40A6"/>
    <w:rsid w:val="00BB461F"/>
    <w:rsid w:val="00BC0F22"/>
    <w:rsid w:val="00BC3D62"/>
    <w:rsid w:val="00BC608B"/>
    <w:rsid w:val="00BC7608"/>
    <w:rsid w:val="00BC7BEF"/>
    <w:rsid w:val="00BD1A64"/>
    <w:rsid w:val="00BD5BA4"/>
    <w:rsid w:val="00BE6AAD"/>
    <w:rsid w:val="00BF02F9"/>
    <w:rsid w:val="00C00731"/>
    <w:rsid w:val="00C02588"/>
    <w:rsid w:val="00C0357A"/>
    <w:rsid w:val="00C05F4C"/>
    <w:rsid w:val="00C0684A"/>
    <w:rsid w:val="00C07FC5"/>
    <w:rsid w:val="00C100BC"/>
    <w:rsid w:val="00C12578"/>
    <w:rsid w:val="00C127F3"/>
    <w:rsid w:val="00C129B9"/>
    <w:rsid w:val="00C14634"/>
    <w:rsid w:val="00C1540D"/>
    <w:rsid w:val="00C21F34"/>
    <w:rsid w:val="00C2209C"/>
    <w:rsid w:val="00C22BEA"/>
    <w:rsid w:val="00C23ABC"/>
    <w:rsid w:val="00C25266"/>
    <w:rsid w:val="00C31DF8"/>
    <w:rsid w:val="00C33DD2"/>
    <w:rsid w:val="00C34BBE"/>
    <w:rsid w:val="00C37213"/>
    <w:rsid w:val="00C375ED"/>
    <w:rsid w:val="00C426B0"/>
    <w:rsid w:val="00C453D9"/>
    <w:rsid w:val="00C46107"/>
    <w:rsid w:val="00C47FB2"/>
    <w:rsid w:val="00C51668"/>
    <w:rsid w:val="00C527DC"/>
    <w:rsid w:val="00C5370B"/>
    <w:rsid w:val="00C53C4F"/>
    <w:rsid w:val="00C5430F"/>
    <w:rsid w:val="00C57E08"/>
    <w:rsid w:val="00C63CF5"/>
    <w:rsid w:val="00C64E44"/>
    <w:rsid w:val="00C66133"/>
    <w:rsid w:val="00C662E9"/>
    <w:rsid w:val="00C66446"/>
    <w:rsid w:val="00C67C90"/>
    <w:rsid w:val="00C7201D"/>
    <w:rsid w:val="00C74704"/>
    <w:rsid w:val="00C75099"/>
    <w:rsid w:val="00C762AA"/>
    <w:rsid w:val="00C76934"/>
    <w:rsid w:val="00C7785F"/>
    <w:rsid w:val="00C8045F"/>
    <w:rsid w:val="00C80EE3"/>
    <w:rsid w:val="00C817DF"/>
    <w:rsid w:val="00C85AFA"/>
    <w:rsid w:val="00C86A01"/>
    <w:rsid w:val="00C86FF3"/>
    <w:rsid w:val="00C90D9A"/>
    <w:rsid w:val="00C91B6D"/>
    <w:rsid w:val="00C92706"/>
    <w:rsid w:val="00C948C1"/>
    <w:rsid w:val="00C94D6F"/>
    <w:rsid w:val="00C97633"/>
    <w:rsid w:val="00CA0654"/>
    <w:rsid w:val="00CA1687"/>
    <w:rsid w:val="00CA1CA6"/>
    <w:rsid w:val="00CA216C"/>
    <w:rsid w:val="00CA49C7"/>
    <w:rsid w:val="00CB2121"/>
    <w:rsid w:val="00CB78D3"/>
    <w:rsid w:val="00CC0AEC"/>
    <w:rsid w:val="00CC1294"/>
    <w:rsid w:val="00CC199D"/>
    <w:rsid w:val="00CC3AB1"/>
    <w:rsid w:val="00CC6E7A"/>
    <w:rsid w:val="00CD07C8"/>
    <w:rsid w:val="00CD6F3D"/>
    <w:rsid w:val="00CE2C8C"/>
    <w:rsid w:val="00CE6C45"/>
    <w:rsid w:val="00CF3967"/>
    <w:rsid w:val="00CF4428"/>
    <w:rsid w:val="00CF5BBA"/>
    <w:rsid w:val="00D00686"/>
    <w:rsid w:val="00D006A7"/>
    <w:rsid w:val="00D02DE8"/>
    <w:rsid w:val="00D14BDE"/>
    <w:rsid w:val="00D14C02"/>
    <w:rsid w:val="00D164BF"/>
    <w:rsid w:val="00D22181"/>
    <w:rsid w:val="00D2320E"/>
    <w:rsid w:val="00D258AB"/>
    <w:rsid w:val="00D25F64"/>
    <w:rsid w:val="00D40AAB"/>
    <w:rsid w:val="00D417CF"/>
    <w:rsid w:val="00D41AA2"/>
    <w:rsid w:val="00D420D5"/>
    <w:rsid w:val="00D44DC1"/>
    <w:rsid w:val="00D472A3"/>
    <w:rsid w:val="00D47342"/>
    <w:rsid w:val="00D47E2B"/>
    <w:rsid w:val="00D50B68"/>
    <w:rsid w:val="00D5143A"/>
    <w:rsid w:val="00D52653"/>
    <w:rsid w:val="00D56162"/>
    <w:rsid w:val="00D62202"/>
    <w:rsid w:val="00D64AC5"/>
    <w:rsid w:val="00D64DBA"/>
    <w:rsid w:val="00D67D79"/>
    <w:rsid w:val="00D7120F"/>
    <w:rsid w:val="00D7223C"/>
    <w:rsid w:val="00D7317C"/>
    <w:rsid w:val="00D74DD3"/>
    <w:rsid w:val="00D76DDF"/>
    <w:rsid w:val="00D80243"/>
    <w:rsid w:val="00D829BE"/>
    <w:rsid w:val="00D85DAA"/>
    <w:rsid w:val="00D92850"/>
    <w:rsid w:val="00D96052"/>
    <w:rsid w:val="00D978ED"/>
    <w:rsid w:val="00DA1AD2"/>
    <w:rsid w:val="00DA57CC"/>
    <w:rsid w:val="00DA7289"/>
    <w:rsid w:val="00DA75FA"/>
    <w:rsid w:val="00DB0CFA"/>
    <w:rsid w:val="00DB1B66"/>
    <w:rsid w:val="00DB2EBB"/>
    <w:rsid w:val="00DC0D77"/>
    <w:rsid w:val="00DC6573"/>
    <w:rsid w:val="00DC6693"/>
    <w:rsid w:val="00DD13A3"/>
    <w:rsid w:val="00DD22BA"/>
    <w:rsid w:val="00DD2511"/>
    <w:rsid w:val="00DD257E"/>
    <w:rsid w:val="00DD37E3"/>
    <w:rsid w:val="00DD5872"/>
    <w:rsid w:val="00DD5D29"/>
    <w:rsid w:val="00DE25C4"/>
    <w:rsid w:val="00DF0ABA"/>
    <w:rsid w:val="00E0267D"/>
    <w:rsid w:val="00E035CD"/>
    <w:rsid w:val="00E04561"/>
    <w:rsid w:val="00E05E47"/>
    <w:rsid w:val="00E136F2"/>
    <w:rsid w:val="00E14DBD"/>
    <w:rsid w:val="00E15B18"/>
    <w:rsid w:val="00E25A6E"/>
    <w:rsid w:val="00E26DA1"/>
    <w:rsid w:val="00E30A36"/>
    <w:rsid w:val="00E31649"/>
    <w:rsid w:val="00E31B83"/>
    <w:rsid w:val="00E33665"/>
    <w:rsid w:val="00E33FAE"/>
    <w:rsid w:val="00E35E7D"/>
    <w:rsid w:val="00E37321"/>
    <w:rsid w:val="00E37471"/>
    <w:rsid w:val="00E42199"/>
    <w:rsid w:val="00E426DD"/>
    <w:rsid w:val="00E43AFE"/>
    <w:rsid w:val="00E44D49"/>
    <w:rsid w:val="00E44EFC"/>
    <w:rsid w:val="00E50B24"/>
    <w:rsid w:val="00E5222D"/>
    <w:rsid w:val="00E54544"/>
    <w:rsid w:val="00E54775"/>
    <w:rsid w:val="00E5500E"/>
    <w:rsid w:val="00E64A33"/>
    <w:rsid w:val="00E651C5"/>
    <w:rsid w:val="00E6529B"/>
    <w:rsid w:val="00E66CCA"/>
    <w:rsid w:val="00E75F25"/>
    <w:rsid w:val="00E76424"/>
    <w:rsid w:val="00E77D24"/>
    <w:rsid w:val="00E8308E"/>
    <w:rsid w:val="00E83E83"/>
    <w:rsid w:val="00E86A9D"/>
    <w:rsid w:val="00E90350"/>
    <w:rsid w:val="00E909A9"/>
    <w:rsid w:val="00E92E7F"/>
    <w:rsid w:val="00E95523"/>
    <w:rsid w:val="00EA2852"/>
    <w:rsid w:val="00EA3979"/>
    <w:rsid w:val="00EA67F3"/>
    <w:rsid w:val="00EA68C9"/>
    <w:rsid w:val="00EA6922"/>
    <w:rsid w:val="00EB21D9"/>
    <w:rsid w:val="00EB7B26"/>
    <w:rsid w:val="00EC1424"/>
    <w:rsid w:val="00EC245C"/>
    <w:rsid w:val="00EC320A"/>
    <w:rsid w:val="00EC64F4"/>
    <w:rsid w:val="00EC6506"/>
    <w:rsid w:val="00EC7161"/>
    <w:rsid w:val="00ED1421"/>
    <w:rsid w:val="00ED27AA"/>
    <w:rsid w:val="00ED3C9B"/>
    <w:rsid w:val="00ED53E7"/>
    <w:rsid w:val="00ED6392"/>
    <w:rsid w:val="00ED66EF"/>
    <w:rsid w:val="00EE2DB9"/>
    <w:rsid w:val="00EE5D65"/>
    <w:rsid w:val="00EE650E"/>
    <w:rsid w:val="00EE7A49"/>
    <w:rsid w:val="00EF30C6"/>
    <w:rsid w:val="00EF463D"/>
    <w:rsid w:val="00EF4F69"/>
    <w:rsid w:val="00EF6CA5"/>
    <w:rsid w:val="00EF7879"/>
    <w:rsid w:val="00F01852"/>
    <w:rsid w:val="00F06ABE"/>
    <w:rsid w:val="00F10369"/>
    <w:rsid w:val="00F12A88"/>
    <w:rsid w:val="00F13B49"/>
    <w:rsid w:val="00F167F8"/>
    <w:rsid w:val="00F20155"/>
    <w:rsid w:val="00F40783"/>
    <w:rsid w:val="00F4252D"/>
    <w:rsid w:val="00F43002"/>
    <w:rsid w:val="00F4317D"/>
    <w:rsid w:val="00F468B7"/>
    <w:rsid w:val="00F47610"/>
    <w:rsid w:val="00F53486"/>
    <w:rsid w:val="00F54215"/>
    <w:rsid w:val="00F60626"/>
    <w:rsid w:val="00F6520C"/>
    <w:rsid w:val="00F65A2A"/>
    <w:rsid w:val="00F70DB3"/>
    <w:rsid w:val="00F7143C"/>
    <w:rsid w:val="00F730AB"/>
    <w:rsid w:val="00F80386"/>
    <w:rsid w:val="00F824E7"/>
    <w:rsid w:val="00F83664"/>
    <w:rsid w:val="00F83DDB"/>
    <w:rsid w:val="00F8433B"/>
    <w:rsid w:val="00F9214B"/>
    <w:rsid w:val="00F92C7D"/>
    <w:rsid w:val="00F94A0D"/>
    <w:rsid w:val="00FA3404"/>
    <w:rsid w:val="00FB001E"/>
    <w:rsid w:val="00FB5076"/>
    <w:rsid w:val="00FB6421"/>
    <w:rsid w:val="00FC5A5E"/>
    <w:rsid w:val="00FC64B5"/>
    <w:rsid w:val="00FC744F"/>
    <w:rsid w:val="00FC7E93"/>
    <w:rsid w:val="00FD3C32"/>
    <w:rsid w:val="00FD6AB5"/>
    <w:rsid w:val="00FE063D"/>
    <w:rsid w:val="00FE0FE2"/>
    <w:rsid w:val="00FE2292"/>
    <w:rsid w:val="00FE32C9"/>
    <w:rsid w:val="00FE3530"/>
    <w:rsid w:val="00FE38E8"/>
    <w:rsid w:val="00FE4253"/>
    <w:rsid w:val="00FF08FC"/>
    <w:rsid w:val="00FF191E"/>
    <w:rsid w:val="00FF214F"/>
    <w:rsid w:val="00FF50B5"/>
    <w:rsid w:val="00FF7A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522011B"/>
  <w15:docId w15:val="{D10AC133-0557-425F-B1DD-CDC5FB8C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00">
    <w:name w:val="(a)-00.00"/>
    <w:basedOn w:val="Normal"/>
    <w:link w:val="a-0000Char"/>
    <w:rsid w:val="00503B86"/>
    <w:pPr>
      <w:tabs>
        <w:tab w:val="left" w:pos="567"/>
        <w:tab w:val="left" w:pos="907"/>
      </w:tabs>
      <w:spacing w:before="40" w:after="0" w:line="200" w:lineRule="exact"/>
      <w:ind w:left="907" w:hanging="907"/>
      <w:jc w:val="both"/>
    </w:pPr>
    <w:rPr>
      <w:rFonts w:ascii="Helvetica-Light" w:eastAsia="Times New Roman" w:hAnsi="Helvetica-Light" w:cs="Times New Roman"/>
      <w:sz w:val="18"/>
      <w:szCs w:val="20"/>
      <w:lang w:val="en-GB"/>
    </w:rPr>
  </w:style>
  <w:style w:type="character" w:customStyle="1" w:styleId="a-0000Char">
    <w:name w:val="(a)-00.00 Char"/>
    <w:link w:val="a-0000"/>
    <w:locked/>
    <w:rsid w:val="00503B86"/>
    <w:rPr>
      <w:rFonts w:ascii="Helvetica-Light" w:eastAsia="Times New Roman" w:hAnsi="Helvetica-Light" w:cs="Times New Roman"/>
      <w:sz w:val="18"/>
      <w:szCs w:val="20"/>
      <w:lang w:val="en-GB"/>
    </w:rPr>
  </w:style>
  <w:style w:type="paragraph" w:styleId="ListParagraph">
    <w:name w:val="List Paragraph"/>
    <w:basedOn w:val="Normal"/>
    <w:uiPriority w:val="34"/>
    <w:qFormat/>
    <w:rsid w:val="002B15EE"/>
    <w:pPr>
      <w:spacing w:after="0" w:line="312" w:lineRule="auto"/>
      <w:ind w:left="720"/>
      <w:contextualSpacing/>
    </w:pPr>
    <w:rPr>
      <w:rFonts w:ascii="Arial" w:eastAsia="Times" w:hAnsi="Arial" w:cs="Times New Roman"/>
      <w:sz w:val="20"/>
      <w:szCs w:val="20"/>
    </w:rPr>
  </w:style>
  <w:style w:type="paragraph" w:customStyle="1" w:styleId="a-000">
    <w:name w:val="(a)-0.00"/>
    <w:basedOn w:val="Normal"/>
    <w:rsid w:val="008E21E7"/>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paragraph" w:customStyle="1" w:styleId="i-000">
    <w:name w:val="(i)-0.00"/>
    <w:basedOn w:val="Normal"/>
    <w:rsid w:val="00CB2121"/>
    <w:pPr>
      <w:widowControl w:val="0"/>
      <w:tabs>
        <w:tab w:val="right" w:pos="1191"/>
        <w:tab w:val="left" w:pos="1361"/>
      </w:tabs>
      <w:spacing w:before="120" w:after="0" w:line="240" w:lineRule="auto"/>
      <w:ind w:left="1361" w:hanging="1361"/>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227B5F"/>
    <w:rPr>
      <w:sz w:val="16"/>
      <w:szCs w:val="16"/>
    </w:rPr>
  </w:style>
  <w:style w:type="paragraph" w:styleId="CommentText">
    <w:name w:val="annotation text"/>
    <w:basedOn w:val="Normal"/>
    <w:link w:val="CommentTextChar"/>
    <w:uiPriority w:val="99"/>
    <w:semiHidden/>
    <w:unhideWhenUsed/>
    <w:rsid w:val="00227B5F"/>
    <w:pPr>
      <w:spacing w:line="240" w:lineRule="auto"/>
    </w:pPr>
    <w:rPr>
      <w:sz w:val="20"/>
      <w:szCs w:val="20"/>
    </w:rPr>
  </w:style>
  <w:style w:type="character" w:customStyle="1" w:styleId="CommentTextChar">
    <w:name w:val="Comment Text Char"/>
    <w:basedOn w:val="DefaultParagraphFont"/>
    <w:link w:val="CommentText"/>
    <w:uiPriority w:val="99"/>
    <w:semiHidden/>
    <w:rsid w:val="00227B5F"/>
    <w:rPr>
      <w:sz w:val="20"/>
      <w:szCs w:val="20"/>
    </w:rPr>
  </w:style>
  <w:style w:type="paragraph" w:styleId="CommentSubject">
    <w:name w:val="annotation subject"/>
    <w:basedOn w:val="CommentText"/>
    <w:next w:val="CommentText"/>
    <w:link w:val="CommentSubjectChar"/>
    <w:uiPriority w:val="99"/>
    <w:semiHidden/>
    <w:unhideWhenUsed/>
    <w:rsid w:val="00227B5F"/>
    <w:rPr>
      <w:b/>
      <w:bCs/>
    </w:rPr>
  </w:style>
  <w:style w:type="character" w:customStyle="1" w:styleId="CommentSubjectChar">
    <w:name w:val="Comment Subject Char"/>
    <w:basedOn w:val="CommentTextChar"/>
    <w:link w:val="CommentSubject"/>
    <w:uiPriority w:val="99"/>
    <w:semiHidden/>
    <w:rsid w:val="00227B5F"/>
    <w:rPr>
      <w:b/>
      <w:bCs/>
      <w:sz w:val="20"/>
      <w:szCs w:val="20"/>
    </w:rPr>
  </w:style>
  <w:style w:type="paragraph" w:styleId="BalloonText">
    <w:name w:val="Balloon Text"/>
    <w:basedOn w:val="Normal"/>
    <w:link w:val="BalloonTextChar"/>
    <w:uiPriority w:val="99"/>
    <w:semiHidden/>
    <w:unhideWhenUsed/>
    <w:rsid w:val="0022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5F"/>
    <w:rPr>
      <w:rFonts w:ascii="Tahoma" w:hAnsi="Tahoma" w:cs="Tahoma"/>
      <w:sz w:val="16"/>
      <w:szCs w:val="16"/>
    </w:rPr>
  </w:style>
  <w:style w:type="paragraph" w:styleId="Revision">
    <w:name w:val="Revision"/>
    <w:hidden/>
    <w:uiPriority w:val="99"/>
    <w:semiHidden/>
    <w:rsid w:val="00D14BDE"/>
    <w:pPr>
      <w:spacing w:after="0" w:line="240" w:lineRule="auto"/>
    </w:pPr>
  </w:style>
  <w:style w:type="character" w:styleId="Hyperlink">
    <w:name w:val="Hyperlink"/>
    <w:basedOn w:val="DefaultParagraphFont"/>
    <w:uiPriority w:val="99"/>
    <w:unhideWhenUsed/>
    <w:rsid w:val="00637FD7"/>
    <w:rPr>
      <w:color w:val="0000FF" w:themeColor="hyperlink"/>
      <w:u w:val="single"/>
    </w:rPr>
  </w:style>
  <w:style w:type="paragraph" w:customStyle="1" w:styleId="head1">
    <w:name w:val="head1"/>
    <w:basedOn w:val="Normal"/>
    <w:rsid w:val="00B2136F"/>
    <w:pPr>
      <w:widowControl w:val="0"/>
      <w:spacing w:before="360" w:after="0" w:line="240" w:lineRule="auto"/>
    </w:pPr>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097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C5"/>
  </w:style>
  <w:style w:type="paragraph" w:styleId="Footer">
    <w:name w:val="footer"/>
    <w:basedOn w:val="Normal"/>
    <w:link w:val="FooterChar"/>
    <w:uiPriority w:val="99"/>
    <w:unhideWhenUsed/>
    <w:rsid w:val="00097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C5"/>
  </w:style>
  <w:style w:type="paragraph" w:customStyle="1" w:styleId="000">
    <w:name w:val="0.00"/>
    <w:basedOn w:val="Normal"/>
    <w:rsid w:val="007D185F"/>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head2">
    <w:name w:val="head2"/>
    <w:basedOn w:val="Normal"/>
    <w:rsid w:val="007D185F"/>
    <w:pPr>
      <w:widowControl w:val="0"/>
      <w:spacing w:before="300" w:after="0" w:line="240" w:lineRule="auto"/>
    </w:pPr>
    <w:rPr>
      <w:rFonts w:ascii="Times New Roman" w:eastAsia="Times New Roman" w:hAnsi="Times New Roman" w:cs="Times New Roman"/>
      <w:b/>
      <w:szCs w:val="20"/>
      <w:lang w:val="en-GB"/>
    </w:rPr>
  </w:style>
  <w:style w:type="paragraph" w:customStyle="1" w:styleId="footnotes">
    <w:name w:val="footnotes"/>
    <w:basedOn w:val="Normal"/>
    <w:rsid w:val="007D185F"/>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rsid w:val="007D185F"/>
    <w:rPr>
      <w:vertAlign w:val="superscript"/>
    </w:rPr>
  </w:style>
  <w:style w:type="paragraph" w:customStyle="1" w:styleId="parafullout">
    <w:name w:val="parafullout"/>
    <w:basedOn w:val="Normal"/>
    <w:rsid w:val="00300E23"/>
    <w:pPr>
      <w:widowControl w:val="0"/>
      <w:spacing w:before="180" w:after="0" w:line="240" w:lineRule="auto"/>
      <w:jc w:val="both"/>
    </w:pPr>
    <w:rPr>
      <w:rFonts w:ascii="Verdana" w:eastAsia="Times New Roman" w:hAnsi="Verdana" w:cs="Times New Roman"/>
      <w:sz w:val="18"/>
      <w:szCs w:val="20"/>
      <w:lang w:val="en-GB"/>
    </w:rPr>
  </w:style>
  <w:style w:type="paragraph" w:customStyle="1" w:styleId="tabletext">
    <w:name w:val="tabletext"/>
    <w:basedOn w:val="Normal"/>
    <w:rsid w:val="00300E23"/>
    <w:pPr>
      <w:widowControl w:val="0"/>
      <w:spacing w:after="0" w:line="240" w:lineRule="auto"/>
    </w:pPr>
    <w:rPr>
      <w:rFonts w:ascii="Verdana" w:eastAsia="Times New Roman" w:hAnsi="Verdana" w:cs="Times New Roman"/>
      <w:sz w:val="16"/>
      <w:szCs w:val="20"/>
      <w:lang w:val="en-GB"/>
    </w:rPr>
  </w:style>
  <w:style w:type="paragraph" w:customStyle="1" w:styleId="head3">
    <w:name w:val="head3"/>
    <w:basedOn w:val="Normal"/>
    <w:rsid w:val="00300E23"/>
    <w:pPr>
      <w:widowControl w:val="0"/>
      <w:spacing w:before="240" w:after="0" w:line="240" w:lineRule="auto"/>
    </w:pPr>
    <w:rPr>
      <w:rFonts w:ascii="Verdana" w:eastAsia="Times New Roman" w:hAnsi="Verdana" w:cs="Times New Roman"/>
      <w:b/>
      <w:i/>
      <w:sz w:val="18"/>
      <w:szCs w:val="20"/>
      <w:lang w:val="en-GB"/>
    </w:rPr>
  </w:style>
  <w:style w:type="paragraph" w:customStyle="1" w:styleId="contents">
    <w:name w:val="contents"/>
    <w:basedOn w:val="Normal"/>
    <w:rsid w:val="00A4223F"/>
    <w:pPr>
      <w:widowControl w:val="0"/>
      <w:tabs>
        <w:tab w:val="left" w:pos="851"/>
      </w:tabs>
      <w:spacing w:before="180" w:after="0" w:line="240" w:lineRule="auto"/>
      <w:ind w:left="851" w:hanging="851"/>
      <w:jc w:val="both"/>
    </w:pPr>
    <w:rPr>
      <w:rFonts w:ascii="Verdana" w:eastAsia="Times New Roman" w:hAnsi="Verdana" w:cs="Times New Roman"/>
      <w:sz w:val="18"/>
      <w:szCs w:val="20"/>
      <w:lang w:val="en-GB"/>
    </w:rPr>
  </w:style>
  <w:style w:type="paragraph" w:customStyle="1" w:styleId="head4">
    <w:name w:val="head4"/>
    <w:basedOn w:val="Normal"/>
    <w:rsid w:val="00A4223F"/>
    <w:pPr>
      <w:widowControl w:val="0"/>
      <w:spacing w:before="120" w:after="0" w:line="240" w:lineRule="auto"/>
    </w:pPr>
    <w:rPr>
      <w:rFonts w:ascii="Verdana" w:eastAsia="Times New Roman" w:hAnsi="Verdana" w:cs="Times New Roman"/>
      <w:i/>
      <w:sz w:val="18"/>
      <w:szCs w:val="20"/>
      <w:lang w:val="en-GB"/>
    </w:rPr>
  </w:style>
  <w:style w:type="paragraph" w:customStyle="1" w:styleId="i-000a">
    <w:name w:val="(i)-0.00(a)"/>
    <w:basedOn w:val="Normal"/>
    <w:rsid w:val="00A4223F"/>
    <w:pPr>
      <w:widowControl w:val="0"/>
      <w:tabs>
        <w:tab w:val="right" w:pos="1758"/>
        <w:tab w:val="left" w:pos="1928"/>
      </w:tabs>
      <w:spacing w:before="180" w:after="0" w:line="240" w:lineRule="auto"/>
      <w:ind w:left="1928" w:hanging="1928"/>
      <w:jc w:val="both"/>
    </w:pPr>
    <w:rPr>
      <w:rFonts w:ascii="Verdana" w:eastAsia="Times New Roman" w:hAnsi="Verdana"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6874">
      <w:bodyDiv w:val="1"/>
      <w:marLeft w:val="0"/>
      <w:marRight w:val="0"/>
      <w:marTop w:val="0"/>
      <w:marBottom w:val="0"/>
      <w:divBdr>
        <w:top w:val="none" w:sz="0" w:space="0" w:color="auto"/>
        <w:left w:val="none" w:sz="0" w:space="0" w:color="auto"/>
        <w:bottom w:val="none" w:sz="0" w:space="0" w:color="auto"/>
        <w:right w:val="none" w:sz="0" w:space="0" w:color="auto"/>
      </w:divBdr>
    </w:div>
    <w:div w:id="985549025">
      <w:bodyDiv w:val="1"/>
      <w:marLeft w:val="0"/>
      <w:marRight w:val="0"/>
      <w:marTop w:val="0"/>
      <w:marBottom w:val="0"/>
      <w:divBdr>
        <w:top w:val="none" w:sz="0" w:space="0" w:color="auto"/>
        <w:left w:val="none" w:sz="0" w:space="0" w:color="auto"/>
        <w:bottom w:val="none" w:sz="0" w:space="0" w:color="auto"/>
        <w:right w:val="none" w:sz="0" w:space="0" w:color="auto"/>
      </w:divBdr>
    </w:div>
    <w:div w:id="1583644120">
      <w:bodyDiv w:val="1"/>
      <w:marLeft w:val="0"/>
      <w:marRight w:val="0"/>
      <w:marTop w:val="0"/>
      <w:marBottom w:val="0"/>
      <w:divBdr>
        <w:top w:val="none" w:sz="0" w:space="0" w:color="auto"/>
        <w:left w:val="none" w:sz="0" w:space="0" w:color="auto"/>
        <w:bottom w:val="none" w:sz="0" w:space="0" w:color="auto"/>
        <w:right w:val="none" w:sz="0" w:space="0" w:color="auto"/>
      </w:divBdr>
    </w:div>
    <w:div w:id="1740904889">
      <w:bodyDiv w:val="1"/>
      <w:marLeft w:val="0"/>
      <w:marRight w:val="0"/>
      <w:marTop w:val="0"/>
      <w:marBottom w:val="0"/>
      <w:divBdr>
        <w:top w:val="none" w:sz="0" w:space="0" w:color="auto"/>
        <w:left w:val="none" w:sz="0" w:space="0" w:color="auto"/>
        <w:bottom w:val="none" w:sz="0" w:space="0" w:color="auto"/>
        <w:right w:val="none" w:sz="0" w:space="0" w:color="auto"/>
      </w:divBdr>
    </w:div>
    <w:div w:id="2111116792">
      <w:bodyDiv w:val="1"/>
      <w:marLeft w:val="0"/>
      <w:marRight w:val="0"/>
      <w:marTop w:val="0"/>
      <w:marBottom w:val="0"/>
      <w:divBdr>
        <w:top w:val="none" w:sz="0" w:space="0" w:color="auto"/>
        <w:left w:val="none" w:sz="0" w:space="0" w:color="auto"/>
        <w:bottom w:val="none" w:sz="0" w:space="0" w:color="auto"/>
        <w:right w:val="none" w:sz="0" w:space="0" w:color="auto"/>
      </w:divBdr>
      <w:divsChild>
        <w:div w:id="1695569275">
          <w:marLeft w:val="691"/>
          <w:marRight w:val="0"/>
          <w:marTop w:val="160"/>
          <w:marBottom w:val="120"/>
          <w:divBdr>
            <w:top w:val="none" w:sz="0" w:space="0" w:color="auto"/>
            <w:left w:val="none" w:sz="0" w:space="0" w:color="auto"/>
            <w:bottom w:val="none" w:sz="0" w:space="0" w:color="auto"/>
            <w:right w:val="none" w:sz="0" w:space="0" w:color="auto"/>
          </w:divBdr>
        </w:div>
        <w:div w:id="1876503672">
          <w:marLeft w:val="691"/>
          <w:marRight w:val="0"/>
          <w:marTop w:val="160"/>
          <w:marBottom w:val="120"/>
          <w:divBdr>
            <w:top w:val="none" w:sz="0" w:space="0" w:color="auto"/>
            <w:left w:val="none" w:sz="0" w:space="0" w:color="auto"/>
            <w:bottom w:val="none" w:sz="0" w:space="0" w:color="auto"/>
            <w:right w:val="none" w:sz="0" w:space="0" w:color="auto"/>
          </w:divBdr>
        </w:div>
        <w:div w:id="209459874">
          <w:marLeft w:val="691"/>
          <w:marRight w:val="0"/>
          <w:marTop w:val="160"/>
          <w:marBottom w:val="120"/>
          <w:divBdr>
            <w:top w:val="none" w:sz="0" w:space="0" w:color="auto"/>
            <w:left w:val="none" w:sz="0" w:space="0" w:color="auto"/>
            <w:bottom w:val="none" w:sz="0" w:space="0" w:color="auto"/>
            <w:right w:val="none" w:sz="0" w:space="0" w:color="auto"/>
          </w:divBdr>
        </w:div>
        <w:div w:id="1890413205">
          <w:marLeft w:val="691"/>
          <w:marRight w:val="0"/>
          <w:marTop w:val="1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31A4-18B0-4C14-A402-DD29C974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Alwyn Fouchee</cp:lastModifiedBy>
  <cp:revision>25</cp:revision>
  <cp:lastPrinted>2019-09-10T14:57:00Z</cp:lastPrinted>
  <dcterms:created xsi:type="dcterms:W3CDTF">2022-09-30T12:51:00Z</dcterms:created>
  <dcterms:modified xsi:type="dcterms:W3CDTF">2022-10-24T13:09:00Z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2021-08-23T09:37:29Z</vt:lpwstr>
  </property>
  <property fmtid="{D5CDD505-2E9C-101B-9397-08002B2CF9AE}" pid="4" name="MSIP_Label_66d8a90e-c522-4829-9625-db8c70f8b095_Method">
    <vt:lpwstr>Standard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3f5db589-4e56-4c1b-ab7e-0658875f7a72</vt:lpwstr>
  </property>
  <property fmtid="{D5CDD505-2E9C-101B-9397-08002B2CF9AE}" pid="8" name="MSIP_Label_66d8a90e-c522-4829-9625-db8c70f8b095_ContentBits">
    <vt:lpwstr>0</vt:lpwstr>
  </property>
</Properties>
</file>