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C" w:rsidRDefault="00F762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54A3C">
        <w:rPr>
          <w:b/>
          <w:color w:val="666699"/>
          <w:sz w:val="28"/>
        </w:rPr>
        <w:t>JSE Africa Index Series - Quarterly Review</w:t>
      </w:r>
      <w:r>
        <w:rPr>
          <w:b/>
          <w:color w:val="666699"/>
          <w:sz w:val="28"/>
        </w:rPr>
        <w:t xml:space="preserve"> </w:t>
      </w:r>
      <w:r w:rsidRPr="00F7623C">
        <w:rPr>
          <w:b/>
          <w:color w:val="FF0000"/>
          <w:sz w:val="28"/>
          <w:szCs w:val="28"/>
        </w:rPr>
        <w:t>Updated</w:t>
      </w:r>
    </w:p>
    <w:p w:rsidR="00354A3C" w:rsidRPr="00C7605A" w:rsidRDefault="00C7605A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09 March 2018</w:t>
      </w:r>
      <w:r w:rsidR="0038759E">
        <w:rPr>
          <w:b/>
          <w:color w:val="666699"/>
          <w:sz w:val="24"/>
        </w:rPr>
        <w:t xml:space="preserve"> </w:t>
      </w:r>
    </w:p>
    <w:p w:rsidR="00354A3C" w:rsidRDefault="00354A3C" w:rsidP="00354A3C">
      <w:pPr>
        <w:pStyle w:val="ICAParagraphText"/>
      </w:pPr>
      <w:r>
        <w:t>The following changes will be made to the FTSE/JSE RAFI Indices after the close of business on Friday, 1</w:t>
      </w:r>
      <w:r w:rsidR="00967E5F">
        <w:t>6</w:t>
      </w:r>
      <w:r>
        <w:t xml:space="preserve"> March 201</w:t>
      </w:r>
      <w:r w:rsidR="00967E5F">
        <w:t>8</w:t>
      </w:r>
      <w:r>
        <w:t xml:space="preserve"> and will be effective on Monday, </w:t>
      </w:r>
      <w:r w:rsidR="00967E5F">
        <w:t>19</w:t>
      </w:r>
      <w:r>
        <w:t xml:space="preserve"> March 201</w:t>
      </w:r>
      <w:r w:rsidR="00967E5F">
        <w:t>8</w:t>
      </w:r>
      <w:r>
        <w:t>.</w:t>
      </w:r>
    </w:p>
    <w:p w:rsidR="008B3058" w:rsidRPr="00F7623C" w:rsidRDefault="00C7605A" w:rsidP="00F7623C">
      <w:pPr>
        <w:jc w:val="both"/>
        <w:rPr>
          <w:b/>
          <w:color w:val="FF0000"/>
          <w:sz w:val="24"/>
          <w:szCs w:val="24"/>
        </w:rPr>
      </w:pPr>
      <w:r w:rsidRPr="00F7623C">
        <w:rPr>
          <w:b/>
          <w:color w:val="FF0000"/>
          <w:sz w:val="24"/>
          <w:szCs w:val="24"/>
        </w:rPr>
        <w:t>Please note that the notice published on 02 March 2018 ha</w:t>
      </w:r>
      <w:r w:rsidR="00A5083F" w:rsidRPr="00F7623C">
        <w:rPr>
          <w:b/>
          <w:color w:val="FF0000"/>
          <w:sz w:val="24"/>
          <w:szCs w:val="24"/>
        </w:rPr>
        <w:t>s</w:t>
      </w:r>
      <w:r w:rsidRPr="00F7623C">
        <w:rPr>
          <w:b/>
          <w:color w:val="FF0000"/>
          <w:sz w:val="24"/>
          <w:szCs w:val="24"/>
        </w:rPr>
        <w:t xml:space="preserve"> been updated to include Hospitality Property B, Montauk Holdings and </w:t>
      </w:r>
      <w:proofErr w:type="spellStart"/>
      <w:r w:rsidRPr="00F7623C">
        <w:rPr>
          <w:b/>
          <w:color w:val="FF0000"/>
          <w:sz w:val="24"/>
          <w:szCs w:val="24"/>
        </w:rPr>
        <w:t>Cartrack</w:t>
      </w:r>
      <w:proofErr w:type="spellEnd"/>
      <w:r w:rsidRPr="00F7623C">
        <w:rPr>
          <w:b/>
          <w:color w:val="FF0000"/>
          <w:sz w:val="24"/>
          <w:szCs w:val="24"/>
        </w:rPr>
        <w:t xml:space="preserve"> Holding as part of the J263 and the J283 additions. All other </w:t>
      </w:r>
      <w:r w:rsidR="00F7623C" w:rsidRPr="00F7623C">
        <w:rPr>
          <w:b/>
          <w:color w:val="FF0000"/>
          <w:sz w:val="24"/>
          <w:szCs w:val="24"/>
        </w:rPr>
        <w:t>details</w:t>
      </w:r>
      <w:r w:rsidRPr="00F7623C">
        <w:rPr>
          <w:b/>
          <w:color w:val="FF0000"/>
          <w:sz w:val="24"/>
          <w:szCs w:val="24"/>
        </w:rPr>
        <w:t xml:space="preserve"> </w:t>
      </w:r>
      <w:r w:rsidR="00F7623C" w:rsidRPr="00F7623C">
        <w:rPr>
          <w:b/>
          <w:color w:val="FF0000"/>
          <w:sz w:val="24"/>
          <w:szCs w:val="24"/>
        </w:rPr>
        <w:t>remain</w:t>
      </w:r>
      <w:r w:rsidRPr="00F7623C">
        <w:rPr>
          <w:b/>
          <w:color w:val="FF0000"/>
          <w:sz w:val="24"/>
          <w:szCs w:val="24"/>
        </w:rPr>
        <w:t xml:space="preserve"> </w:t>
      </w:r>
      <w:r w:rsidR="00F7623C" w:rsidRPr="00F7623C">
        <w:rPr>
          <w:b/>
          <w:color w:val="FF0000"/>
          <w:sz w:val="24"/>
          <w:szCs w:val="24"/>
        </w:rPr>
        <w:t xml:space="preserve">unchanged. </w:t>
      </w:r>
      <w:r w:rsidR="00F7623C" w:rsidRPr="00F7623C">
        <w:rPr>
          <w:b/>
          <w:color w:val="FF0000"/>
          <w:sz w:val="24"/>
          <w:szCs w:val="24"/>
        </w:rPr>
        <w:t>A full amended version can be found below.</w:t>
      </w:r>
    </w:p>
    <w:p w:rsidR="003F4E14" w:rsidRDefault="00F7623C" w:rsidP="003F4E14">
      <w:pPr>
        <w:pStyle w:val="ICAHeading2"/>
      </w:pPr>
      <w:r>
        <w:t xml:space="preserve">FTSE/JSE RAFI 40 </w:t>
      </w:r>
      <w:r w:rsidR="003F4E14">
        <w:t>(J260)</w:t>
      </w:r>
    </w:p>
    <w:p w:rsidR="003F4E14" w:rsidRDefault="003F4E14" w:rsidP="003F4E14">
      <w:pPr>
        <w:pStyle w:val="ICAHeading3"/>
      </w:pPr>
      <w:r>
        <w:t>Equities for inclusion to index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60"/>
        <w:gridCol w:w="3720"/>
        <w:gridCol w:w="1520"/>
        <w:gridCol w:w="1680"/>
        <w:gridCol w:w="2060"/>
      </w:tblGrid>
      <w:tr w:rsidR="00582180" w:rsidRPr="00582180" w:rsidTr="003D37A2">
        <w:trPr>
          <w:trHeight w:val="2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Sibanye Gold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ZAE000173951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77.7800001510450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ZAE000081949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90.0000004648612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706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69.9359613953630</w:t>
            </w:r>
          </w:p>
        </w:tc>
      </w:tr>
    </w:tbl>
    <w:p w:rsidR="003F4E14" w:rsidRDefault="003F4E14" w:rsidP="003F4E14">
      <w:pPr>
        <w:pStyle w:val="ICAHeading3"/>
      </w:pPr>
      <w:r>
        <w:t>Equities for exclusion from index</w:t>
      </w:r>
    </w:p>
    <w:tbl>
      <w:tblPr>
        <w:tblpPr w:leftFromText="180" w:rightFromText="180" w:vertAnchor="text" w:tblpX="93" w:tblpY="1"/>
        <w:tblOverlap w:val="never"/>
        <w:tblW w:w="7880" w:type="dxa"/>
        <w:tblLook w:val="04A0" w:firstRow="1" w:lastRow="0" w:firstColumn="1" w:lastColumn="0" w:noHBand="0" w:noVBand="1"/>
      </w:tblPr>
      <w:tblGrid>
        <w:gridCol w:w="953"/>
        <w:gridCol w:w="3641"/>
        <w:gridCol w:w="1518"/>
        <w:gridCol w:w="1768"/>
      </w:tblGrid>
      <w:tr w:rsidR="00582180" w:rsidRPr="00582180" w:rsidTr="003D37A2">
        <w:trPr>
          <w:trHeight w:val="2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MMI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MMI Holdings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ZAE000149902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64.4500001311119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KIO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Kumba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Iron 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ZAE000085346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16.0968055690621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BAT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Brait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LU0011857645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3D3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62.1291421109870</w:t>
            </w:r>
          </w:p>
        </w:tc>
      </w:tr>
    </w:tbl>
    <w:p w:rsidR="00F7623C" w:rsidRDefault="00F45D42" w:rsidP="00354A3C">
      <w:pPr>
        <w:pStyle w:val="ICAHeading2"/>
      </w:pPr>
      <w:r>
        <w:br w:type="textWrapping" w:clear="all"/>
      </w:r>
    </w:p>
    <w:p w:rsidR="00354A3C" w:rsidRDefault="00354A3C" w:rsidP="00354A3C">
      <w:pPr>
        <w:pStyle w:val="ICAHeading2"/>
      </w:pPr>
      <w:r>
        <w:t xml:space="preserve">FTSE/JSE RAFI </w:t>
      </w:r>
      <w:r w:rsidR="00F7623C">
        <w:t>All Share</w:t>
      </w:r>
      <w:r>
        <w:t xml:space="preserve"> (J26</w:t>
      </w:r>
      <w:r w:rsidR="003F4E14">
        <w:t>3</w:t>
      </w:r>
      <w:r>
        <w:t>)</w:t>
      </w:r>
    </w:p>
    <w:p w:rsidR="00354A3C" w:rsidRDefault="00354A3C" w:rsidP="00354A3C">
      <w:pPr>
        <w:pStyle w:val="ICAHeading3"/>
      </w:pPr>
      <w:r>
        <w:t>Equities for inclusion to index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52"/>
        <w:gridCol w:w="3637"/>
        <w:gridCol w:w="1617"/>
        <w:gridCol w:w="1394"/>
        <w:gridCol w:w="1680"/>
      </w:tblGrid>
      <w:tr w:rsidR="00C7605A" w:rsidRPr="00C7605A" w:rsidTr="003D37A2">
        <w:trPr>
          <w:trHeight w:val="2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AEL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Allied Electronics Corp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398,026,892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62.805672185587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Clientele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ZAE000117438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334,374,573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19.241580544921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CTK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proofErr w:type="spellStart"/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Cartrack</w:t>
            </w:r>
            <w:proofErr w:type="spellEnd"/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 xml:space="preserve">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ZAE000198305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 xml:space="preserve">   300,000,000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20.000000000000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Echo </w:t>
            </w:r>
            <w:proofErr w:type="spellStart"/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Polska</w:t>
            </w:r>
            <w:proofErr w:type="spellEnd"/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Properties NV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NL0011983374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793,552,887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39.270000075606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HPB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Hospitality Property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ZAE000214656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 xml:space="preserve">   576,003,351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40.352000139666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L2D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Liberty Two Degrees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ZAE000230553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908,443,335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33.013336929815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MNK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Montauk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ZAE000197455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 xml:space="preserve">   137,879,234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46.899999458947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MSP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MAS Real Estate </w:t>
            </w:r>
            <w:proofErr w:type="spellStart"/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VGG5884M1041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646,765,786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51.778723154084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933,571,173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45.204887185841</w:t>
            </w:r>
          </w:p>
        </w:tc>
      </w:tr>
    </w:tbl>
    <w:p w:rsidR="00354A3C" w:rsidRDefault="00354A3C" w:rsidP="00354A3C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45"/>
        <w:gridCol w:w="3580"/>
        <w:gridCol w:w="1587"/>
        <w:gridCol w:w="1768"/>
      </w:tblGrid>
      <w:tr w:rsidR="00582180" w:rsidRPr="00582180" w:rsidTr="003D37A2">
        <w:trPr>
          <w:trHeight w:val="2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Choppies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Enterprises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BW0000001072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31.2818862961140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CIL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Consolidated Infrastructure Group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ZAE000153888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83.8299999293883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NVS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Novus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67.5434164500850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Sandown Capital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ZAE000249645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81.4901386011260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NRP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NEPI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Rockcastle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IM00BDD7WV31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58.2876793476590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Stadio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Holdings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ZAE000248662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48.3266728265910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TDH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Tradehold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ZAE000152658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23.3385847719493</w:t>
            </w:r>
          </w:p>
        </w:tc>
      </w:tr>
    </w:tbl>
    <w:p w:rsidR="00582180" w:rsidRDefault="00582180" w:rsidP="00354A3C">
      <w:pPr>
        <w:pStyle w:val="ICAHeading2"/>
      </w:pPr>
    </w:p>
    <w:p w:rsidR="00354A3C" w:rsidRDefault="00354A3C" w:rsidP="00354A3C">
      <w:pPr>
        <w:pStyle w:val="ICAHeading2"/>
      </w:pPr>
      <w:r>
        <w:t>FTSE/JSE Capped Rafi All Share (J283)</w:t>
      </w:r>
    </w:p>
    <w:p w:rsidR="00354A3C" w:rsidRDefault="00354A3C" w:rsidP="00354A3C">
      <w:pPr>
        <w:pStyle w:val="ICAHeading3"/>
      </w:pPr>
      <w:r>
        <w:t>Equities for inclusion to index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52"/>
        <w:gridCol w:w="3640"/>
        <w:gridCol w:w="1617"/>
        <w:gridCol w:w="1391"/>
        <w:gridCol w:w="1680"/>
      </w:tblGrid>
      <w:tr w:rsidR="00C7605A" w:rsidRPr="00C7605A" w:rsidTr="003D37A2">
        <w:trPr>
          <w:trHeight w:val="2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AEL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Allied Electronics Corp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398026892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62.805672185587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Clientele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ZAE000117438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334374573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19.241580544921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CTK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proofErr w:type="spellStart"/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Cartrack</w:t>
            </w:r>
            <w:proofErr w:type="spellEnd"/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 xml:space="preserve">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ZAE000198305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300000000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20.000000000000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Echo </w:t>
            </w:r>
            <w:proofErr w:type="spellStart"/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Polska</w:t>
            </w:r>
            <w:proofErr w:type="spellEnd"/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Properties NV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NL0011983374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793552887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39.270000075606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HPB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Hospitality Property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ZAE000214656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576003351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40.352000139666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L2D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Liberty Two Degrees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ZAE000230553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908443335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33.013336929815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MNK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Montauk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ZAE000197455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137879234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ZA" w:eastAsia="en-ZA"/>
              </w:rPr>
              <w:t>46.899999458947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MSP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MAS Real Estate </w:t>
            </w:r>
            <w:proofErr w:type="spellStart"/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VGG5884M1041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646765786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51.778723154084</w:t>
            </w:r>
          </w:p>
        </w:tc>
      </w:tr>
      <w:tr w:rsidR="00C7605A" w:rsidRPr="00C7605A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933571173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05A" w:rsidRPr="00C7605A" w:rsidRDefault="00C7605A" w:rsidP="00C760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7605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45.204887185841</w:t>
            </w:r>
          </w:p>
        </w:tc>
      </w:tr>
    </w:tbl>
    <w:p w:rsidR="00C7605A" w:rsidRDefault="00C7605A" w:rsidP="00354A3C">
      <w:pPr>
        <w:pStyle w:val="ICAHeading3"/>
      </w:pPr>
    </w:p>
    <w:p w:rsidR="00354A3C" w:rsidRDefault="00354A3C" w:rsidP="00354A3C">
      <w:pPr>
        <w:pStyle w:val="ICAHeading3"/>
      </w:pPr>
      <w:r>
        <w:t>Equities for exclusion from index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945"/>
        <w:gridCol w:w="3580"/>
        <w:gridCol w:w="1587"/>
        <w:gridCol w:w="1768"/>
      </w:tblGrid>
      <w:tr w:rsidR="00582180" w:rsidRPr="00582180" w:rsidTr="003D37A2">
        <w:trPr>
          <w:trHeight w:val="2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Choppies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Enterprises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BW0000001072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31.2818862961140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CIL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Consolidated Infrastructure Group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ZAE000153888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83.8299999293883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NVS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Novus Holdings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67.5434164500850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Sandown Capital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ZAE000249645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81.4901386011260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NRP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NEPI </w:t>
            </w: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Rockcastle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IM00BDD7WV31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58.2876793476590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Stadio</w:t>
            </w:r>
            <w:proofErr w:type="spellEnd"/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Holdings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ZAE000248662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48.3266728265910</w:t>
            </w:r>
          </w:p>
        </w:tc>
      </w:tr>
      <w:tr w:rsidR="00582180" w:rsidRPr="00582180" w:rsidTr="003D37A2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TDH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Tradehold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ZAE000152658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180" w:rsidRPr="00582180" w:rsidRDefault="00582180" w:rsidP="0058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8218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23.3385847719493</w:t>
            </w:r>
          </w:p>
        </w:tc>
      </w:tr>
    </w:tbl>
    <w:p w:rsidR="009A1FEC" w:rsidRDefault="009A1FEC" w:rsidP="00354A3C">
      <w:pPr>
        <w:pStyle w:val="ICAHeading3"/>
      </w:pPr>
      <w:bookmarkStart w:id="0" w:name="_GoBack"/>
      <w:bookmarkEnd w:id="0"/>
    </w:p>
    <w:p w:rsidR="00354A3C" w:rsidRDefault="00354A3C" w:rsidP="00354A3C">
      <w:pPr>
        <w:pStyle w:val="ICAParagraphText"/>
      </w:pPr>
      <w:r>
        <w:t>For index related enquiries or further information about FTSE please contact:</w:t>
      </w:r>
    </w:p>
    <w:p w:rsidR="00354A3C" w:rsidRDefault="00354A3C" w:rsidP="00354A3C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54A3C" w:rsidRDefault="00354A3C" w:rsidP="00354A3C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54A3C" w:rsidRDefault="00354A3C" w:rsidP="00354A3C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54A3C" w:rsidRDefault="00354A3C" w:rsidP="00354A3C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54A3C" w:rsidRDefault="00354A3C" w:rsidP="00354A3C">
      <w:pPr>
        <w:pStyle w:val="ICAParagraphText"/>
      </w:pPr>
    </w:p>
    <w:p w:rsidR="00354A3C" w:rsidRDefault="00354A3C" w:rsidP="00354A3C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354A3C" w:rsidRDefault="00354A3C" w:rsidP="00354A3C">
      <w:pPr>
        <w:pStyle w:val="ICAHeading2"/>
      </w:pPr>
    </w:p>
    <w:p w:rsidR="00D0314E" w:rsidRDefault="00920F31"/>
    <w:sectPr w:rsidR="00D0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354A3C"/>
    <w:rsid w:val="0038759E"/>
    <w:rsid w:val="003D37A2"/>
    <w:rsid w:val="003F4E14"/>
    <w:rsid w:val="00582180"/>
    <w:rsid w:val="00596C2F"/>
    <w:rsid w:val="008B3058"/>
    <w:rsid w:val="00967E5F"/>
    <w:rsid w:val="009A1FEC"/>
    <w:rsid w:val="009E1175"/>
    <w:rsid w:val="00A5083F"/>
    <w:rsid w:val="00C7605A"/>
    <w:rsid w:val="00F45D42"/>
    <w:rsid w:val="00F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2018-03-18T22:00:00+00:00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4CECB-00FE-405A-904B-3DFA62DC1D7F}"/>
</file>

<file path=customXml/itemProps2.xml><?xml version="1.0" encoding="utf-8"?>
<ds:datastoreItem xmlns:ds="http://schemas.openxmlformats.org/officeDocument/2006/customXml" ds:itemID="{ADCB1F39-F1D0-41FB-A738-A02283105B90}"/>
</file>

<file path=customXml/itemProps3.xml><?xml version="1.0" encoding="utf-8"?>
<ds:datastoreItem xmlns:ds="http://schemas.openxmlformats.org/officeDocument/2006/customXml" ds:itemID="{D17563CB-A81B-429A-AD8A-4FF64D29B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Winfred Motsosi</dc:creator>
  <cp:lastModifiedBy>Winfred Motsosi</cp:lastModifiedBy>
  <cp:revision>2</cp:revision>
  <dcterms:created xsi:type="dcterms:W3CDTF">2018-03-09T13:17:00Z</dcterms:created>
  <dcterms:modified xsi:type="dcterms:W3CDTF">2018-03-09T13:17:00Z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