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E3" w:rsidRPr="000E1CEF" w:rsidRDefault="002835E3" w:rsidP="002835E3">
      <w:pPr>
        <w:spacing w:after="200" w:line="276" w:lineRule="auto"/>
        <w:jc w:val="left"/>
        <w:rPr>
          <w:b/>
          <w:szCs w:val="20"/>
          <w:lang w:val="en-ZA"/>
        </w:rPr>
      </w:pPr>
      <w:r>
        <w:rPr>
          <w:b/>
          <w:szCs w:val="20"/>
          <w:lang w:val="en-ZA"/>
        </w:rPr>
        <w:t xml:space="preserve">Schedule 4 </w:t>
      </w:r>
      <w:bookmarkStart w:id="0" w:name="_GoBack"/>
      <w:bookmarkEnd w:id="0"/>
      <w:r w:rsidRPr="000E1CEF">
        <w:rPr>
          <w:b/>
          <w:szCs w:val="20"/>
          <w:lang w:val="en-ZA"/>
        </w:rPr>
        <w:t>Form A4</w:t>
      </w:r>
    </w:p>
    <w:p w:rsidR="002835E3" w:rsidRPr="009D5DBC" w:rsidRDefault="002835E3" w:rsidP="002835E3">
      <w:pPr>
        <w:spacing w:line="240" w:lineRule="auto"/>
        <w:jc w:val="left"/>
        <w:rPr>
          <w:b/>
          <w:szCs w:val="20"/>
          <w:lang w:val="en-ZA"/>
        </w:rPr>
      </w:pPr>
      <w:r w:rsidRPr="009D5DBC">
        <w:rPr>
          <w:b/>
          <w:szCs w:val="20"/>
          <w:lang w:val="en-ZA"/>
        </w:rPr>
        <w:t>Disclosure required for project bonds</w:t>
      </w: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2835E3" w:rsidRPr="00AD5353" w:rsidTr="006119D9">
        <w:trPr>
          <w:trHeight w:val="171"/>
        </w:trPr>
        <w:tc>
          <w:tcPr>
            <w:tcW w:w="9746" w:type="dxa"/>
            <w:gridSpan w:val="2"/>
            <w:shd w:val="clear" w:color="auto" w:fill="92D050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  <w:lang w:val="en-ZA"/>
              </w:rPr>
            </w:pPr>
            <w:r w:rsidRPr="003717B9">
              <w:rPr>
                <w:b/>
                <w:color w:val="FFFFFF" w:themeColor="background1"/>
                <w:szCs w:val="20"/>
                <w:lang w:val="en-ZA"/>
              </w:rPr>
              <w:t>Overview</w:t>
            </w: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Date of issue of report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Reporting Period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Issuer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Project Name/Description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Project Phase (Construction or Operations)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Parties to the bond: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Bond agent / Noteholder representative (if applicable)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Paying agent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Bond security trustee (if applicable)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Default="002835E3" w:rsidP="002835E3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Legal Advisor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Arranger(s)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Parties to the Project: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 w:rsidRPr="00AD5353">
              <w:rPr>
                <w:sz w:val="18"/>
                <w:szCs w:val="18"/>
                <w:lang w:val="en-ZA"/>
              </w:rPr>
              <w:t>Project Sponsor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 w:rsidRPr="00AD5353">
              <w:rPr>
                <w:sz w:val="18"/>
                <w:szCs w:val="18"/>
                <w:lang w:val="en-ZA"/>
              </w:rPr>
              <w:t>Service Providers (including major sub-contractors and their guarantors, if applicable)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Ownership (including details on any changes)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Party responsible for the off-take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BEE advisor (if applicable)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Technical advisor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Project facility agent (if applicable)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AD5353" w:rsidTr="006119D9">
        <w:tc>
          <w:tcPr>
            <w:tcW w:w="5245" w:type="dxa"/>
          </w:tcPr>
          <w:p w:rsidR="002835E3" w:rsidRPr="00AD5353" w:rsidRDefault="002835E3" w:rsidP="002835E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Lenders</w:t>
            </w:r>
          </w:p>
        </w:tc>
        <w:tc>
          <w:tcPr>
            <w:tcW w:w="4501" w:type="dxa"/>
          </w:tcPr>
          <w:p w:rsidR="002835E3" w:rsidRPr="00AD535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</w:tbl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1642"/>
        <w:gridCol w:w="1643"/>
        <w:gridCol w:w="1642"/>
        <w:gridCol w:w="1642"/>
        <w:gridCol w:w="1643"/>
      </w:tblGrid>
      <w:tr w:rsidR="002835E3" w:rsidRPr="003717B9" w:rsidTr="006119D9">
        <w:tc>
          <w:tcPr>
            <w:tcW w:w="9746" w:type="dxa"/>
            <w:gridSpan w:val="6"/>
            <w:shd w:val="clear" w:color="auto" w:fill="92D050"/>
          </w:tcPr>
          <w:p w:rsidR="002835E3" w:rsidRPr="003717B9" w:rsidRDefault="002835E3" w:rsidP="006119D9">
            <w:pPr>
              <w:spacing w:line="240" w:lineRule="auto"/>
              <w:jc w:val="left"/>
              <w:rPr>
                <w:color w:val="FFFFFF" w:themeColor="background1"/>
                <w:sz w:val="18"/>
                <w:szCs w:val="18"/>
                <w:lang w:val="en-ZA"/>
              </w:rPr>
            </w:pPr>
            <w:r w:rsidRPr="003717B9">
              <w:rPr>
                <w:b/>
                <w:color w:val="FFFFFF" w:themeColor="background1"/>
                <w:szCs w:val="20"/>
                <w:lang w:val="en-ZA"/>
              </w:rPr>
              <w:t>Funding</w:t>
            </w: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Debt Type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3717B9">
              <w:rPr>
                <w:sz w:val="18"/>
                <w:szCs w:val="18"/>
                <w:lang w:val="en-ZA"/>
              </w:rPr>
              <w:t>Bond</w:t>
            </w: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3717B9">
              <w:rPr>
                <w:sz w:val="18"/>
                <w:szCs w:val="18"/>
                <w:lang w:val="en-ZA"/>
              </w:rPr>
              <w:t>Loan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3717B9">
              <w:rPr>
                <w:sz w:val="18"/>
                <w:szCs w:val="18"/>
                <w:lang w:val="en-ZA"/>
              </w:rPr>
              <w:t>Swap ( if applicable)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3717B9">
              <w:rPr>
                <w:sz w:val="18"/>
                <w:szCs w:val="18"/>
                <w:lang w:val="en-ZA"/>
              </w:rPr>
              <w:t>Any other debt</w:t>
            </w:r>
            <w:r>
              <w:rPr>
                <w:sz w:val="18"/>
                <w:szCs w:val="18"/>
                <w:lang w:val="en-ZA"/>
              </w:rPr>
              <w:t xml:space="preserve"> (if applicable)</w:t>
            </w: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3717B9">
              <w:rPr>
                <w:sz w:val="18"/>
                <w:szCs w:val="18"/>
                <w:lang w:val="en-ZA"/>
              </w:rPr>
              <w:t>Guarantees and unfunded liquidity support (if applicable)</w:t>
            </w: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Original amount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Current amount outstanding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Currency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Maturity date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Margin / Coupon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Tranche Identifier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[ISIN]</w:t>
            </w: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[Loan provider]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[Swap provider]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[Debt provider]</w:t>
            </w: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[Provider]</w:t>
            </w: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Rating agency (if applicable)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Credit rating (if applicable)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Rating outlook (if applicable)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RPr="003717B9" w:rsidTr="006119D9">
        <w:tc>
          <w:tcPr>
            <w:tcW w:w="1534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b/>
                <w:sz w:val="18"/>
                <w:szCs w:val="18"/>
                <w:lang w:val="en-ZA"/>
              </w:rPr>
            </w:pPr>
            <w:r w:rsidRPr="003717B9">
              <w:rPr>
                <w:b/>
                <w:sz w:val="18"/>
                <w:szCs w:val="18"/>
                <w:lang w:val="en-ZA"/>
              </w:rPr>
              <w:t>Date of rating report (if applicable)</w:t>
            </w: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2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643" w:type="dxa"/>
          </w:tcPr>
          <w:p w:rsidR="002835E3" w:rsidRPr="003717B9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</w:tbl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550"/>
        <w:gridCol w:w="1551"/>
        <w:gridCol w:w="1550"/>
        <w:gridCol w:w="1551"/>
      </w:tblGrid>
      <w:tr w:rsidR="002835E3" w:rsidTr="006119D9">
        <w:tc>
          <w:tcPr>
            <w:tcW w:w="9746" w:type="dxa"/>
            <w:gridSpan w:val="5"/>
            <w:shd w:val="clear" w:color="auto" w:fill="92D050"/>
          </w:tcPr>
          <w:p w:rsidR="002835E3" w:rsidRPr="009D5DBC" w:rsidRDefault="002835E3" w:rsidP="006119D9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  <w:lang w:val="en-ZA"/>
              </w:rPr>
            </w:pPr>
            <w:r w:rsidRPr="009D5DBC">
              <w:rPr>
                <w:b/>
                <w:color w:val="FFFFFF" w:themeColor="background1"/>
                <w:szCs w:val="20"/>
                <w:lang w:val="en-ZA"/>
              </w:rPr>
              <w:t>Operational Performance</w:t>
            </w:r>
          </w:p>
        </w:tc>
      </w:tr>
      <w:tr w:rsidR="002835E3" w:rsidTr="006119D9">
        <w:tc>
          <w:tcPr>
            <w:tcW w:w="3544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Financial Ratios (where applicable):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Historical</w:t>
            </w: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Current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Trigger level</w:t>
            </w: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Default level</w:t>
            </w:r>
          </w:p>
        </w:tc>
      </w:tr>
      <w:tr w:rsidR="002835E3" w:rsidTr="006119D9">
        <w:tc>
          <w:tcPr>
            <w:tcW w:w="3544" w:type="dxa"/>
          </w:tcPr>
          <w:p w:rsidR="002835E3" w:rsidRPr="002E13F6" w:rsidRDefault="002835E3" w:rsidP="002835E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 xml:space="preserve">Debt service cover ratio 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3544" w:type="dxa"/>
          </w:tcPr>
          <w:p w:rsidR="002835E3" w:rsidRPr="002E13F6" w:rsidRDefault="002835E3" w:rsidP="002835E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Loan life cover ratio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3544" w:type="dxa"/>
          </w:tcPr>
          <w:p w:rsidR="002835E3" w:rsidRPr="002E13F6" w:rsidRDefault="002835E3" w:rsidP="002835E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lastRenderedPageBreak/>
              <w:t>Project life cover ratio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3544" w:type="dxa"/>
          </w:tcPr>
          <w:p w:rsidR="002835E3" w:rsidRPr="002E13F6" w:rsidRDefault="002835E3" w:rsidP="002835E3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Debt liquidity coverage ratio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3544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i/>
                <w:sz w:val="14"/>
                <w:szCs w:val="14"/>
                <w:lang w:val="en-ZA"/>
              </w:rPr>
            </w:pPr>
            <w:r w:rsidRPr="002E13F6">
              <w:rPr>
                <w:i/>
                <w:sz w:val="14"/>
                <w:szCs w:val="14"/>
                <w:lang w:val="en-ZA"/>
              </w:rPr>
              <w:t>Please include the components of each ratio</w:t>
            </w: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0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  <w:tc>
          <w:tcPr>
            <w:tcW w:w="1551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Portion of total debt drawn down (if applicable)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Availability / usage of plant (if applicable)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Key developments</w:t>
            </w:r>
            <w:r>
              <w:rPr>
                <w:sz w:val="18"/>
                <w:szCs w:val="18"/>
                <w:lang w:val="en-ZA"/>
              </w:rPr>
              <w:t xml:space="preserve"> (e.g. regulatory or any changes to the payment mechanism)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Any penalties and deductions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Material changes to the construction / maintenance / lifecycle budget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Material changes to service providers / sub-contractors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Material replacements (swap providers or credit support)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Any material claim against the issuer or insurance claims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Material variations effected (if applicable)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Concerns/issues raised by the technical advisor (subject to approval by the technical advisor of same)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  <w:gridSpan w:val="2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Reference to where on the website or in the VDR the updated cash flow model is contained</w:t>
            </w:r>
          </w:p>
        </w:tc>
        <w:tc>
          <w:tcPr>
            <w:tcW w:w="4652" w:type="dxa"/>
            <w:gridSpan w:val="3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</w:tbl>
    <w:p w:rsidR="002835E3" w:rsidRDefault="002835E3" w:rsidP="002835E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94"/>
        <w:gridCol w:w="4652"/>
      </w:tblGrid>
      <w:tr w:rsidR="002835E3" w:rsidTr="006119D9">
        <w:tc>
          <w:tcPr>
            <w:tcW w:w="9746" w:type="dxa"/>
            <w:gridSpan w:val="2"/>
            <w:shd w:val="clear" w:color="auto" w:fill="92D050"/>
          </w:tcPr>
          <w:p w:rsidR="002835E3" w:rsidRPr="00C8451F" w:rsidRDefault="002835E3" w:rsidP="006119D9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  <w:lang w:val="en-ZA"/>
              </w:rPr>
            </w:pPr>
            <w:r>
              <w:rPr>
                <w:b/>
                <w:color w:val="FFFFFF" w:themeColor="background1"/>
                <w:szCs w:val="20"/>
                <w:lang w:val="en-ZA"/>
              </w:rPr>
              <w:t>Compliance</w:t>
            </w:r>
          </w:p>
        </w:tc>
      </w:tr>
      <w:tr w:rsidR="002835E3" w:rsidTr="006119D9">
        <w:tc>
          <w:tcPr>
            <w:tcW w:w="5094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There is: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</w:p>
        </w:tc>
      </w:tr>
      <w:tr w:rsidR="002835E3" w:rsidTr="006119D9">
        <w:tc>
          <w:tcPr>
            <w:tcW w:w="5094" w:type="dxa"/>
          </w:tcPr>
          <w:p w:rsidR="002835E3" w:rsidRPr="00C8451F" w:rsidRDefault="002835E3" w:rsidP="002835E3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An event of default or potential event of default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Yes)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2835E3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 Trigger Event (if applicable)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Yes)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2835E3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 Lock-up event (if applicable)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Yes)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All repeated representations and warranties are correct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Yes / No  (Specify details if No) 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All covenants have been complied with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No)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The Issuer is still solvent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No)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The Issuer is not involved in any material litigation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No)</w:t>
            </w:r>
          </w:p>
        </w:tc>
      </w:tr>
      <w:tr w:rsidR="002835E3" w:rsidTr="006119D9">
        <w:tc>
          <w:tcPr>
            <w:tcW w:w="5094" w:type="dxa"/>
          </w:tcPr>
          <w:p w:rsidR="002835E3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The Issuer is not in any dispute with any regulator</w:t>
            </w:r>
          </w:p>
        </w:tc>
        <w:tc>
          <w:tcPr>
            <w:tcW w:w="4652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 / No (Specify details if No)</w:t>
            </w:r>
          </w:p>
        </w:tc>
      </w:tr>
    </w:tbl>
    <w:p w:rsidR="002835E3" w:rsidRDefault="002835E3" w:rsidP="002835E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835E3" w:rsidTr="006119D9">
        <w:tc>
          <w:tcPr>
            <w:tcW w:w="9746" w:type="dxa"/>
            <w:shd w:val="clear" w:color="auto" w:fill="92D050"/>
          </w:tcPr>
          <w:p w:rsidR="002835E3" w:rsidRPr="00C8451F" w:rsidRDefault="002835E3" w:rsidP="006119D9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  <w:lang w:val="en-ZA"/>
              </w:rPr>
            </w:pPr>
            <w:r w:rsidRPr="00C8451F">
              <w:rPr>
                <w:b/>
                <w:color w:val="FFFFFF" w:themeColor="background1"/>
                <w:szCs w:val="20"/>
                <w:lang w:val="en-ZA"/>
              </w:rPr>
              <w:t>Annexure</w:t>
            </w:r>
          </w:p>
        </w:tc>
      </w:tr>
      <w:tr w:rsidR="002835E3" w:rsidTr="006119D9">
        <w:tc>
          <w:tcPr>
            <w:tcW w:w="9746" w:type="dxa"/>
          </w:tcPr>
          <w:p w:rsidR="002835E3" w:rsidRPr="002E13F6" w:rsidRDefault="002835E3" w:rsidP="006119D9">
            <w:pPr>
              <w:spacing w:line="240" w:lineRule="auto"/>
              <w:jc w:val="left"/>
              <w:rPr>
                <w:sz w:val="18"/>
                <w:szCs w:val="18"/>
                <w:lang w:val="en-ZA"/>
              </w:rPr>
            </w:pPr>
            <w:r w:rsidRPr="002E13F6">
              <w:rPr>
                <w:sz w:val="18"/>
                <w:szCs w:val="18"/>
                <w:lang w:val="en-ZA"/>
              </w:rPr>
              <w:t>Operating report from the technical advisor</w:t>
            </w:r>
          </w:p>
        </w:tc>
      </w:tr>
    </w:tbl>
    <w:p w:rsidR="002835E3" w:rsidRDefault="002835E3" w:rsidP="002835E3">
      <w:pPr>
        <w:spacing w:line="240" w:lineRule="auto"/>
        <w:jc w:val="left"/>
        <w:rPr>
          <w:szCs w:val="20"/>
          <w:lang w:val="en-ZA"/>
        </w:rPr>
      </w:pPr>
    </w:p>
    <w:p w:rsidR="002835E3" w:rsidRPr="00853EE4" w:rsidRDefault="002835E3" w:rsidP="002835E3">
      <w:pPr>
        <w:rPr>
          <w:b/>
          <w:szCs w:val="20"/>
          <w:lang w:val="en-ZA"/>
        </w:rPr>
      </w:pPr>
      <w:r w:rsidRPr="00853EE4">
        <w:rPr>
          <w:b/>
          <w:szCs w:val="20"/>
          <w:lang w:val="en-ZA"/>
        </w:rPr>
        <w:t>GLOSSARY OF TERMS</w:t>
      </w:r>
    </w:p>
    <w:p w:rsidR="002835E3" w:rsidRPr="00853EE4" w:rsidRDefault="002835E3" w:rsidP="002835E3">
      <w:pPr>
        <w:rPr>
          <w:b/>
          <w:szCs w:val="20"/>
          <w:lang w:val="en-Z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7029"/>
      </w:tblGrid>
      <w:tr w:rsidR="002835E3" w:rsidRPr="00853EE4" w:rsidTr="006119D9">
        <w:tc>
          <w:tcPr>
            <w:tcW w:w="2610" w:type="dxa"/>
          </w:tcPr>
          <w:p w:rsidR="002835E3" w:rsidRPr="00853EE4" w:rsidRDefault="002835E3" w:rsidP="006119D9">
            <w:pPr>
              <w:jc w:val="left"/>
              <w:rPr>
                <w:b/>
                <w:szCs w:val="20"/>
                <w:lang w:val="en-ZA"/>
              </w:rPr>
            </w:pPr>
            <w:r w:rsidRPr="00853EE4">
              <w:rPr>
                <w:b/>
                <w:szCs w:val="20"/>
                <w:lang w:val="en-ZA"/>
              </w:rPr>
              <w:t xml:space="preserve">Debt Listings Requirements </w:t>
            </w:r>
          </w:p>
        </w:tc>
        <w:tc>
          <w:tcPr>
            <w:tcW w:w="7029" w:type="dxa"/>
          </w:tcPr>
          <w:p w:rsidR="002835E3" w:rsidRPr="00853EE4" w:rsidRDefault="002835E3" w:rsidP="006119D9">
            <w:pPr>
              <w:rPr>
                <w:szCs w:val="20"/>
                <w:lang w:val="en-ZA"/>
              </w:rPr>
            </w:pPr>
            <w:r w:rsidRPr="00853EE4">
              <w:rPr>
                <w:szCs w:val="20"/>
                <w:lang w:val="en-ZA"/>
              </w:rPr>
              <w:t>the Debt Listings Requirements of the JSE;</w:t>
            </w:r>
          </w:p>
        </w:tc>
      </w:tr>
      <w:tr w:rsidR="002835E3" w:rsidRPr="00853EE4" w:rsidTr="006119D9">
        <w:tc>
          <w:tcPr>
            <w:tcW w:w="2610" w:type="dxa"/>
          </w:tcPr>
          <w:p w:rsidR="002835E3" w:rsidRPr="00853EE4" w:rsidRDefault="002835E3" w:rsidP="006119D9">
            <w:pPr>
              <w:jc w:val="left"/>
              <w:rPr>
                <w:b/>
                <w:szCs w:val="20"/>
                <w:lang w:val="en-ZA"/>
              </w:rPr>
            </w:pPr>
            <w:r w:rsidRPr="00853EE4">
              <w:rPr>
                <w:b/>
                <w:szCs w:val="20"/>
                <w:lang w:val="en-ZA"/>
              </w:rPr>
              <w:t>FSB</w:t>
            </w:r>
          </w:p>
        </w:tc>
        <w:tc>
          <w:tcPr>
            <w:tcW w:w="7029" w:type="dxa"/>
          </w:tcPr>
          <w:p w:rsidR="002835E3" w:rsidRPr="00853EE4" w:rsidRDefault="002835E3" w:rsidP="006119D9">
            <w:pPr>
              <w:rPr>
                <w:szCs w:val="20"/>
                <w:lang w:val="en-ZA"/>
              </w:rPr>
            </w:pPr>
            <w:r w:rsidRPr="00853EE4">
              <w:rPr>
                <w:szCs w:val="20"/>
                <w:lang w:val="en-ZA"/>
              </w:rPr>
              <w:t>Financial Services Board;</w:t>
            </w:r>
          </w:p>
        </w:tc>
      </w:tr>
      <w:tr w:rsidR="002835E3" w:rsidRPr="00853EE4" w:rsidTr="006119D9">
        <w:tc>
          <w:tcPr>
            <w:tcW w:w="2610" w:type="dxa"/>
          </w:tcPr>
          <w:p w:rsidR="002835E3" w:rsidRPr="00853EE4" w:rsidRDefault="002835E3" w:rsidP="006119D9">
            <w:pPr>
              <w:jc w:val="left"/>
              <w:rPr>
                <w:b/>
                <w:szCs w:val="20"/>
                <w:lang w:val="en-ZA"/>
              </w:rPr>
            </w:pPr>
            <w:r w:rsidRPr="00853EE4">
              <w:rPr>
                <w:b/>
                <w:szCs w:val="20"/>
                <w:lang w:val="en-ZA"/>
              </w:rPr>
              <w:t>JSE</w:t>
            </w:r>
          </w:p>
        </w:tc>
        <w:tc>
          <w:tcPr>
            <w:tcW w:w="7029" w:type="dxa"/>
          </w:tcPr>
          <w:p w:rsidR="002835E3" w:rsidRPr="00853EE4" w:rsidRDefault="002835E3" w:rsidP="006119D9">
            <w:pPr>
              <w:rPr>
                <w:szCs w:val="20"/>
                <w:lang w:val="en-ZA"/>
              </w:rPr>
            </w:pPr>
            <w:r w:rsidRPr="00853EE4">
              <w:rPr>
                <w:szCs w:val="20"/>
                <w:lang w:val="en-ZA"/>
              </w:rPr>
              <w:t>JSE Limited;</w:t>
            </w:r>
          </w:p>
        </w:tc>
      </w:tr>
      <w:tr w:rsidR="002835E3" w:rsidRPr="00853EE4" w:rsidTr="006119D9">
        <w:tc>
          <w:tcPr>
            <w:tcW w:w="2610" w:type="dxa"/>
          </w:tcPr>
          <w:p w:rsidR="002835E3" w:rsidRPr="00853EE4" w:rsidRDefault="002835E3" w:rsidP="006119D9">
            <w:pPr>
              <w:jc w:val="left"/>
              <w:rPr>
                <w:b/>
                <w:szCs w:val="20"/>
                <w:lang w:val="en-ZA"/>
              </w:rPr>
            </w:pPr>
            <w:r w:rsidRPr="00853EE4">
              <w:rPr>
                <w:b/>
                <w:szCs w:val="20"/>
                <w:lang w:val="en-ZA"/>
              </w:rPr>
              <w:t>placing document</w:t>
            </w:r>
          </w:p>
        </w:tc>
        <w:tc>
          <w:tcPr>
            <w:tcW w:w="7029" w:type="dxa"/>
          </w:tcPr>
          <w:p w:rsidR="002835E3" w:rsidRPr="00853EE4" w:rsidRDefault="002835E3" w:rsidP="006119D9">
            <w:pPr>
              <w:rPr>
                <w:szCs w:val="20"/>
                <w:lang w:val="en-ZA"/>
              </w:rPr>
            </w:pPr>
            <w:r w:rsidRPr="00853EE4">
              <w:rPr>
                <w:szCs w:val="20"/>
                <w:lang w:val="en-ZA"/>
              </w:rPr>
              <w:t>as defined in the Debt Listings Requirements;</w:t>
            </w:r>
          </w:p>
        </w:tc>
      </w:tr>
      <w:tr w:rsidR="002835E3" w:rsidRPr="00853EE4" w:rsidTr="006119D9">
        <w:tc>
          <w:tcPr>
            <w:tcW w:w="2610" w:type="dxa"/>
          </w:tcPr>
          <w:p w:rsidR="002835E3" w:rsidRPr="00853EE4" w:rsidRDefault="002835E3" w:rsidP="006119D9">
            <w:pPr>
              <w:jc w:val="left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pricing supplement</w:t>
            </w:r>
          </w:p>
        </w:tc>
        <w:tc>
          <w:tcPr>
            <w:tcW w:w="7029" w:type="dxa"/>
          </w:tcPr>
          <w:p w:rsidR="002835E3" w:rsidRPr="00853EE4" w:rsidRDefault="002835E3" w:rsidP="006119D9">
            <w:pPr>
              <w:rPr>
                <w:szCs w:val="20"/>
                <w:lang w:val="en-ZA"/>
              </w:rPr>
            </w:pPr>
            <w:r w:rsidRPr="00853EE4">
              <w:rPr>
                <w:szCs w:val="20"/>
                <w:lang w:val="en-ZA"/>
              </w:rPr>
              <w:t>as defined in the Debt Listings Requirements;</w:t>
            </w:r>
            <w:r>
              <w:rPr>
                <w:szCs w:val="20"/>
                <w:lang w:val="en-ZA"/>
              </w:rPr>
              <w:t xml:space="preserve"> and</w:t>
            </w:r>
          </w:p>
        </w:tc>
      </w:tr>
      <w:tr w:rsidR="002835E3" w:rsidRPr="00853EE4" w:rsidTr="006119D9">
        <w:tc>
          <w:tcPr>
            <w:tcW w:w="2610" w:type="dxa"/>
          </w:tcPr>
          <w:p w:rsidR="002835E3" w:rsidRPr="00853EE4" w:rsidRDefault="002835E3" w:rsidP="006119D9">
            <w:pPr>
              <w:jc w:val="left"/>
              <w:rPr>
                <w:b/>
                <w:szCs w:val="20"/>
                <w:lang w:val="en-ZA"/>
              </w:rPr>
            </w:pPr>
            <w:r w:rsidRPr="00853EE4">
              <w:rPr>
                <w:b/>
                <w:szCs w:val="20"/>
                <w:lang w:val="en-ZA"/>
              </w:rPr>
              <w:t>SENS</w:t>
            </w:r>
          </w:p>
        </w:tc>
        <w:tc>
          <w:tcPr>
            <w:tcW w:w="7029" w:type="dxa"/>
          </w:tcPr>
          <w:p w:rsidR="002835E3" w:rsidRPr="00853EE4" w:rsidRDefault="002835E3" w:rsidP="006119D9">
            <w:pPr>
              <w:rPr>
                <w:szCs w:val="20"/>
                <w:lang w:val="en-ZA"/>
              </w:rPr>
            </w:pPr>
            <w:r w:rsidRPr="00853EE4">
              <w:rPr>
                <w:szCs w:val="20"/>
                <w:lang w:val="en-ZA"/>
              </w:rPr>
              <w:t xml:space="preserve">Stock Exchange News </w:t>
            </w:r>
            <w:r>
              <w:rPr>
                <w:szCs w:val="20"/>
                <w:lang w:val="en-ZA"/>
              </w:rPr>
              <w:t>Service of the JSE.</w:t>
            </w:r>
          </w:p>
        </w:tc>
      </w:tr>
    </w:tbl>
    <w:p w:rsidR="002835E3" w:rsidRPr="00901A8C" w:rsidRDefault="002835E3" w:rsidP="002835E3">
      <w:pPr>
        <w:spacing w:after="200" w:line="276" w:lineRule="auto"/>
        <w:jc w:val="left"/>
        <w:rPr>
          <w:szCs w:val="20"/>
          <w:lang w:val="en-ZA"/>
        </w:rPr>
      </w:pPr>
    </w:p>
    <w:p w:rsidR="00C00B5C" w:rsidRDefault="002835E3"/>
    <w:sectPr w:rsidR="00C00B5C" w:rsidSect="00A6397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1711067827"/>
      <w:docPartObj>
        <w:docPartGallery w:val="Page Numbers (Bottom of Page)"/>
        <w:docPartUnique/>
      </w:docPartObj>
    </w:sdtPr>
    <w:sdtEndPr/>
    <w:sdtContent>
      <w:p w:rsidR="009E5BAB" w:rsidRDefault="002835E3" w:rsidP="00417645">
        <w:pPr>
          <w:widowControl w:val="0"/>
          <w:autoSpaceDE w:val="0"/>
          <w:autoSpaceDN w:val="0"/>
          <w:adjustRightInd w:val="0"/>
          <w:spacing w:line="240" w:lineRule="auto"/>
          <w:rPr>
            <w:rFonts w:cs="Arial"/>
            <w:bCs/>
            <w:sz w:val="14"/>
            <w:szCs w:val="14"/>
          </w:rPr>
        </w:pPr>
        <w:r>
          <w:rPr>
            <w:noProof/>
            <w:lang w:val="en-ZA" w:eastAsia="en-ZA"/>
          </w:rPr>
          <w:drawing>
            <wp:anchor distT="0" distB="0" distL="114300" distR="114300" simplePos="0" relativeHeight="251660288" behindDoc="0" locked="0" layoutInCell="1" allowOverlap="1" wp14:anchorId="088A87C9" wp14:editId="4587F087">
              <wp:simplePos x="0" y="0"/>
              <wp:positionH relativeFrom="column">
                <wp:posOffset>6615430</wp:posOffset>
              </wp:positionH>
              <wp:positionV relativeFrom="paragraph">
                <wp:posOffset>-346710</wp:posOffset>
              </wp:positionV>
              <wp:extent cx="252730" cy="426720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73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Arial"/>
            <w:bCs/>
            <w:sz w:val="14"/>
            <w:szCs w:val="14"/>
          </w:rPr>
          <w:t xml:space="preserve">Page </w:t>
        </w:r>
        <w:r>
          <w:rPr>
            <w:rFonts w:cs="Arial"/>
            <w:bCs/>
            <w:sz w:val="14"/>
            <w:szCs w:val="14"/>
          </w:rPr>
          <w:fldChar w:fldCharType="begin"/>
        </w:r>
        <w:r>
          <w:rPr>
            <w:rFonts w:cs="Arial"/>
            <w:bCs/>
            <w:sz w:val="14"/>
            <w:szCs w:val="14"/>
          </w:rPr>
          <w:instrText xml:space="preserve"> PAGE  \* Arabic  \* MERGEFORMAT </w:instrText>
        </w:r>
        <w:r>
          <w:rPr>
            <w:rFonts w:cs="Arial"/>
            <w:bCs/>
            <w:sz w:val="14"/>
            <w:szCs w:val="14"/>
          </w:rPr>
          <w:fldChar w:fldCharType="separate"/>
        </w:r>
        <w:r>
          <w:rPr>
            <w:rFonts w:cs="Arial"/>
            <w:bCs/>
            <w:noProof/>
            <w:sz w:val="14"/>
            <w:szCs w:val="14"/>
          </w:rPr>
          <w:t>2</w:t>
        </w:r>
        <w:r>
          <w:rPr>
            <w:rFonts w:cs="Arial"/>
            <w:bCs/>
            <w:sz w:val="14"/>
            <w:szCs w:val="14"/>
          </w:rPr>
          <w:fldChar w:fldCharType="end"/>
        </w:r>
        <w:r>
          <w:rPr>
            <w:rFonts w:cs="Arial"/>
            <w:bCs/>
            <w:sz w:val="14"/>
            <w:szCs w:val="14"/>
          </w:rPr>
          <w:t xml:space="preserve"> of </w:t>
        </w:r>
        <w:r>
          <w:rPr>
            <w:rFonts w:cs="Arial"/>
            <w:bCs/>
            <w:sz w:val="14"/>
            <w:szCs w:val="14"/>
          </w:rPr>
          <w:fldChar w:fldCharType="begin"/>
        </w:r>
        <w:r>
          <w:rPr>
            <w:rFonts w:cs="Arial"/>
            <w:bCs/>
            <w:sz w:val="14"/>
            <w:szCs w:val="14"/>
          </w:rPr>
          <w:instrText xml:space="preserve"> NUMPAGES  \* Arabic  \* MERGEFORMAT </w:instrText>
        </w:r>
        <w:r>
          <w:rPr>
            <w:rFonts w:cs="Arial"/>
            <w:bCs/>
            <w:sz w:val="14"/>
            <w:szCs w:val="14"/>
          </w:rPr>
          <w:fldChar w:fldCharType="separate"/>
        </w:r>
        <w:r>
          <w:rPr>
            <w:rFonts w:cs="Arial"/>
            <w:bCs/>
            <w:noProof/>
            <w:sz w:val="14"/>
            <w:szCs w:val="14"/>
          </w:rPr>
          <w:t>2</w:t>
        </w:r>
        <w:r>
          <w:rPr>
            <w:rFonts w:cs="Arial"/>
            <w:bCs/>
            <w:sz w:val="14"/>
            <w:szCs w:val="14"/>
          </w:rPr>
          <w:fldChar w:fldCharType="end"/>
        </w:r>
      </w:p>
    </w:sdtContent>
  </w:sdt>
  <w:p w:rsidR="009E5BAB" w:rsidRDefault="002835E3" w:rsidP="00417645">
    <w:pPr>
      <w:pStyle w:val="Footer"/>
      <w:rPr>
        <w:sz w:val="14"/>
        <w:szCs w:val="14"/>
      </w:rPr>
    </w:pPr>
  </w:p>
  <w:p w:rsidR="009E5BAB" w:rsidRDefault="002835E3" w:rsidP="00417645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B" w:rsidRDefault="002835E3" w:rsidP="00417645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0B7D1C4C" wp14:editId="59B339F1">
          <wp:simplePos x="0" y="0"/>
          <wp:positionH relativeFrom="column">
            <wp:posOffset>6614160</wp:posOffset>
          </wp:positionH>
          <wp:positionV relativeFrom="paragraph">
            <wp:posOffset>200025</wp:posOffset>
          </wp:positionV>
          <wp:extent cx="252730" cy="4267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4"/>
        <w:szCs w:val="14"/>
      </w:rPr>
      <w:t xml:space="preserve"> </w:t>
    </w:r>
  </w:p>
  <w:p w:rsidR="009E5BAB" w:rsidRDefault="002835E3" w:rsidP="00417645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  <w:r>
      <w:rPr>
        <w:rFonts w:cs="Arial"/>
        <w:bCs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56" w:rsidRDefault="002835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0599" o:spid="_x0000_s2050" type="#_x0000_t136" style="position:absolute;left:0;text-align:left;margin-left:0;margin-top:0;width:582.35pt;height:97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B" w:rsidRDefault="002835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0600" o:spid="_x0000_s2051" type="#_x0000_t136" style="position:absolute;left:0;text-align:left;margin-left:0;margin-top:0;width:582.35pt;height:9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CONFIDENTIAL"/>
          <w10:wrap anchorx="margin" anchory="margin"/>
        </v:shape>
      </w:pict>
    </w:r>
  </w:p>
  <w:p w:rsidR="009E5BAB" w:rsidRDefault="002835E3">
    <w:pPr>
      <w:pStyle w:val="Header"/>
    </w:pPr>
  </w:p>
  <w:p w:rsidR="009E5BAB" w:rsidRDefault="002835E3">
    <w:pPr>
      <w:pStyle w:val="Header"/>
    </w:pPr>
  </w:p>
  <w:p w:rsidR="009E5BAB" w:rsidRDefault="002835E3">
    <w:pPr>
      <w:pStyle w:val="Header"/>
    </w:pPr>
  </w:p>
  <w:p w:rsidR="009E5BAB" w:rsidRDefault="002835E3">
    <w:pPr>
      <w:pStyle w:val="Header"/>
    </w:pPr>
  </w:p>
  <w:p w:rsidR="009E5BAB" w:rsidRDefault="00283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B" w:rsidRDefault="002835E3" w:rsidP="00DF21E4">
    <w:pPr>
      <w:pStyle w:val="Header"/>
      <w:tabs>
        <w:tab w:val="left" w:pos="7279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0598" o:spid="_x0000_s2049" type="#_x0000_t136" style="position:absolute;left:0;text-align:left;margin-left:0;margin-top:0;width:582.35pt;height:9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E7C"/>
    <w:multiLevelType w:val="hybridMultilevel"/>
    <w:tmpl w:val="DBACF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7BD0"/>
    <w:multiLevelType w:val="hybridMultilevel"/>
    <w:tmpl w:val="48729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52C72"/>
    <w:multiLevelType w:val="hybridMultilevel"/>
    <w:tmpl w:val="A5CE6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67FDD"/>
    <w:multiLevelType w:val="hybridMultilevel"/>
    <w:tmpl w:val="68305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E3"/>
    <w:rsid w:val="000E13FB"/>
    <w:rsid w:val="002835E3"/>
    <w:rsid w:val="003E0F3A"/>
    <w:rsid w:val="00B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E3"/>
    <w:pPr>
      <w:spacing w:after="0" w:line="288" w:lineRule="auto"/>
      <w:jc w:val="both"/>
    </w:pPr>
    <w:rPr>
      <w:rFonts w:eastAsiaTheme="minorEastAsia"/>
      <w:color w:val="262626" w:themeColor="text1" w:themeTint="D9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5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E3"/>
    <w:rPr>
      <w:rFonts w:eastAsiaTheme="minorEastAsia"/>
      <w:color w:val="262626" w:themeColor="text1" w:themeTint="D9"/>
      <w:sz w:val="20"/>
      <w:szCs w:val="24"/>
      <w:lang w:val="en-US"/>
    </w:rPr>
  </w:style>
  <w:style w:type="paragraph" w:styleId="Footer">
    <w:name w:val="footer"/>
    <w:basedOn w:val="Normal"/>
    <w:link w:val="FooterChar"/>
    <w:unhideWhenUsed/>
    <w:rsid w:val="002835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835E3"/>
    <w:rPr>
      <w:rFonts w:eastAsiaTheme="minorEastAsia"/>
      <w:color w:val="262626" w:themeColor="text1" w:themeTint="D9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28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E3"/>
    <w:pPr>
      <w:spacing w:after="0" w:line="288" w:lineRule="auto"/>
      <w:jc w:val="both"/>
    </w:pPr>
    <w:rPr>
      <w:rFonts w:eastAsiaTheme="minorEastAsia"/>
      <w:color w:val="262626" w:themeColor="text1" w:themeTint="D9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5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E3"/>
    <w:rPr>
      <w:rFonts w:eastAsiaTheme="minorEastAsia"/>
      <w:color w:val="262626" w:themeColor="text1" w:themeTint="D9"/>
      <w:sz w:val="20"/>
      <w:szCs w:val="24"/>
      <w:lang w:val="en-US"/>
    </w:rPr>
  </w:style>
  <w:style w:type="paragraph" w:styleId="Footer">
    <w:name w:val="footer"/>
    <w:basedOn w:val="Normal"/>
    <w:link w:val="FooterChar"/>
    <w:unhideWhenUsed/>
    <w:rsid w:val="002835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835E3"/>
    <w:rPr>
      <w:rFonts w:eastAsiaTheme="minorEastAsia"/>
      <w:color w:val="262626" w:themeColor="text1" w:themeTint="D9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28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2BDDD0-663F-4288-825F-E639ECD567AE}"/>
</file>

<file path=customXml/itemProps2.xml><?xml version="1.0" encoding="utf-8"?>
<ds:datastoreItem xmlns:ds="http://schemas.openxmlformats.org/officeDocument/2006/customXml" ds:itemID="{57F37918-3AC6-457A-8C72-EA683EB4185D}"/>
</file>

<file path=customXml/itemProps3.xml><?xml version="1.0" encoding="utf-8"?>
<ds:datastoreItem xmlns:ds="http://schemas.openxmlformats.org/officeDocument/2006/customXml" ds:itemID="{236DF79A-FD5F-4628-B8E9-84CA130B2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Alwyn Fouchee</dc:creator>
  <cp:lastModifiedBy>Alwyn Fouchee</cp:lastModifiedBy>
  <cp:revision>1</cp:revision>
  <dcterms:created xsi:type="dcterms:W3CDTF">2018-02-14T08:57:00Z</dcterms:created>
  <dcterms:modified xsi:type="dcterms:W3CDTF">2018-02-14T08:58:00Z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</Properties>
</file>