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C1" w:rsidRPr="00EB2C64" w:rsidRDefault="00F040C1" w:rsidP="00F040C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EB2C64">
        <w:rPr>
          <w:rFonts w:ascii="Arial" w:hAnsi="Arial" w:cs="Arial"/>
          <w:b/>
          <w:bCs/>
          <w:sz w:val="20"/>
          <w:szCs w:val="20"/>
        </w:rPr>
        <w:t>CHECKLIST: SPECIFIC ISSUE OF SHARES FOR CASH</w:t>
      </w:r>
    </w:p>
    <w:p w:rsidR="00F040C1" w:rsidRDefault="00F040C1" w:rsidP="00F040C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040C1" w:rsidRDefault="00F040C1" w:rsidP="00F040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documentation will be subject to the turnaround times as stipulated in paragraph 16.3 in the Listings Requirements.</w:t>
      </w:r>
    </w:p>
    <w:p w:rsidR="00F040C1" w:rsidRDefault="00F040C1" w:rsidP="00F040C1">
      <w:pPr>
        <w:rPr>
          <w:rFonts w:ascii="Arial" w:hAnsi="Arial" w:cs="Arial"/>
          <w:sz w:val="20"/>
          <w:szCs w:val="20"/>
        </w:rPr>
      </w:pPr>
    </w:p>
    <w:p w:rsidR="00F040C1" w:rsidRDefault="00F040C1" w:rsidP="00F040C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CFO:</w:t>
      </w:r>
    </w:p>
    <w:p w:rsidR="00F040C1" w:rsidRDefault="00F040C1" w:rsidP="00F040C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Second Reader:</w:t>
      </w:r>
    </w:p>
    <w:p w:rsidR="00F040C1" w:rsidRDefault="00F040C1" w:rsidP="00F040C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 of First Submission: [.........] 201_</w:t>
      </w:r>
    </w:p>
    <w:p w:rsidR="00F040C1" w:rsidRDefault="00F040C1" w:rsidP="00F040C1">
      <w:pPr>
        <w:jc w:val="both"/>
        <w:rPr>
          <w:rFonts w:ascii="Arial" w:hAnsi="Arial" w:cs="Arial"/>
          <w:b/>
          <w:sz w:val="20"/>
          <w:szCs w:val="20"/>
        </w:rPr>
      </w:pPr>
    </w:p>
    <w:p w:rsidR="00F040C1" w:rsidRDefault="00F040C1" w:rsidP="00F040C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Sponsors and Designated Advisors (the “Sponsor”) should discuss any comments/issues raised by the JSE with the CFO in the first instance. To the extent that any comments/issues remain unresolved, the Sponsor may request the CFO to involve the second reader for assistance. It is suggested that a conference call be </w:t>
      </w:r>
      <w:proofErr w:type="spellStart"/>
      <w:r>
        <w:rPr>
          <w:rFonts w:ascii="Arial" w:hAnsi="Arial" w:cs="Arial"/>
          <w:b/>
          <w:sz w:val="20"/>
          <w:szCs w:val="20"/>
        </w:rPr>
        <w:t>utilised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as the suitable medium to resolve matters with the CFO and second reader.</w:t>
      </w:r>
    </w:p>
    <w:p w:rsidR="00F040C1" w:rsidRDefault="00F040C1" w:rsidP="00F040C1">
      <w:pPr>
        <w:jc w:val="both"/>
        <w:rPr>
          <w:rFonts w:ascii="Arial" w:hAnsi="Arial" w:cs="Arial"/>
          <w:b/>
          <w:sz w:val="20"/>
          <w:szCs w:val="20"/>
        </w:rPr>
      </w:pPr>
    </w:p>
    <w:p w:rsidR="00F040C1" w:rsidRDefault="00F040C1" w:rsidP="00F040C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Once all avenues with the CFO and second reader have been exhausted, any outstanding comments/issues can be escalated to management with the involvement of the CFO and second reader. </w:t>
      </w:r>
    </w:p>
    <w:p w:rsidR="00F040C1" w:rsidRDefault="00F040C1" w:rsidP="00F040C1">
      <w:pPr>
        <w:jc w:val="both"/>
        <w:rPr>
          <w:rFonts w:ascii="Arial" w:hAnsi="Arial" w:cs="Arial"/>
          <w:b/>
          <w:sz w:val="20"/>
          <w:szCs w:val="20"/>
        </w:rPr>
      </w:pPr>
    </w:p>
    <w:p w:rsidR="00F040C1" w:rsidRPr="00E00D27" w:rsidRDefault="00F040C1" w:rsidP="00E00D27">
      <w:pPr>
        <w:pBdr>
          <w:bottom w:val="single" w:sz="12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This process ensures that the flow of information remains consistent through the review process. When and if matters are escalated to management, information can be reviewed in context and as a whole without</w:t>
      </w:r>
      <w:r w:rsidR="00E00D27">
        <w:rPr>
          <w:rFonts w:ascii="Arial" w:hAnsi="Arial" w:cs="Arial"/>
          <w:b/>
          <w:sz w:val="20"/>
          <w:szCs w:val="20"/>
        </w:rPr>
        <w:t xml:space="preserve"> any piecemeal considerations. </w:t>
      </w:r>
    </w:p>
    <w:p w:rsidR="00F040C1" w:rsidRDefault="00F040C1" w:rsidP="00F040C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49" w:type="dxa"/>
        <w:tblInd w:w="-318" w:type="dxa"/>
        <w:tblLook w:val="01E0" w:firstRow="1" w:lastRow="1" w:firstColumn="1" w:lastColumn="1" w:noHBand="0" w:noVBand="0"/>
      </w:tblPr>
      <w:tblGrid>
        <w:gridCol w:w="2411"/>
        <w:gridCol w:w="7938"/>
      </w:tblGrid>
      <w:tr w:rsidR="00F040C1" w:rsidTr="00402BB3">
        <w:tc>
          <w:tcPr>
            <w:tcW w:w="2411" w:type="dxa"/>
            <w:tcBorders>
              <w:bottom w:val="single" w:sz="4" w:space="0" w:color="auto"/>
            </w:tcBorders>
          </w:tcPr>
          <w:p w:rsidR="00F040C1" w:rsidRDefault="00F040C1" w:rsidP="003F1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LR Ref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Paragraph reference where this is addressed or reason why not addressed</w:t>
            </w:r>
          </w:p>
        </w:tc>
      </w:tr>
      <w:tr w:rsidR="00F040C1" w:rsidTr="003F18C2">
        <w:tc>
          <w:tcPr>
            <w:tcW w:w="2411" w:type="dxa"/>
          </w:tcPr>
          <w:p w:rsidR="00F040C1" w:rsidRPr="00EB2C64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5.50(a)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Pr="00EB2C64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5.51(a)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Pr="00EB2C64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5.51(b)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Pr="00EB2C64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5.51(c)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Pr="00EB2C64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5.51(d)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5.51(e)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Pr="00EB2C64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5.51(f)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Pr="00F60850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5.51(g)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Pr="00F60850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5.53(a)(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Pr="00F60850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5.53(b)(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Pr="00F60850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</w:t>
            </w:r>
          </w:p>
        </w:tc>
        <w:tc>
          <w:tcPr>
            <w:tcW w:w="7938" w:type="dxa"/>
          </w:tcPr>
          <w:p w:rsidR="00F040C1" w:rsidRDefault="00F040C1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70675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:-</w:t>
            </w:r>
          </w:p>
          <w:p w:rsidR="00F040C1" w:rsidRDefault="00F040C1" w:rsidP="00F040C1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Name and registered office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-</w:t>
            </w:r>
          </w:p>
          <w:p w:rsidR="00F040C1" w:rsidRDefault="00F040C1" w:rsidP="00F040C1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Name and address of transfer office</w:t>
            </w:r>
          </w:p>
          <w:p w:rsidR="00F040C1" w:rsidRDefault="00F040C1" w:rsidP="00F040C1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Place of incorporation</w:t>
            </w:r>
          </w:p>
          <w:p w:rsidR="00F040C1" w:rsidRPr="00C71C25" w:rsidRDefault="00F040C1" w:rsidP="00F040C1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Date of registration of external company, if applicable</w:t>
            </w:r>
          </w:p>
        </w:tc>
      </w:tr>
      <w:tr w:rsidR="00F040C1" w:rsidTr="003F18C2">
        <w:tc>
          <w:tcPr>
            <w:tcW w:w="2411" w:type="dxa"/>
          </w:tcPr>
          <w:p w:rsidR="00F040C1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7.A.4(a)(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7.A.4(a)(ii)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7.A.4(a)(iii)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7.A.4(a)(iv)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7.A.4(a)(v)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Pr="00F60850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7.A.4(b)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7.A.5(a)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Pr="00F60850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7.A.5(b)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Pr="00F60850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7.A.5(c)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tcBorders>
              <w:bottom w:val="single" w:sz="4" w:space="0" w:color="auto"/>
            </w:tcBorders>
          </w:tcPr>
          <w:p w:rsidR="00F040C1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7.A.5(d)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F040C1" w:rsidRPr="00F94D1C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F60850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7.B.1(a)</w:t>
            </w:r>
          </w:p>
        </w:tc>
        <w:tc>
          <w:tcPr>
            <w:tcW w:w="7938" w:type="dxa"/>
            <w:shd w:val="clear" w:color="auto" w:fill="auto"/>
          </w:tcPr>
          <w:p w:rsidR="00F040C1" w:rsidRPr="00F94D1C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94D1C">
              <w:rPr>
                <w:rFonts w:ascii="Arial" w:hAnsi="Arial" w:cs="Arial"/>
                <w:i/>
                <w:iCs/>
                <w:sz w:val="20"/>
                <w:szCs w:val="20"/>
              </w:rPr>
              <w:t>Issuer and subsidiaries</w:t>
            </w: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F60850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7.B.1(b)</w:t>
            </w:r>
          </w:p>
        </w:tc>
        <w:tc>
          <w:tcPr>
            <w:tcW w:w="7938" w:type="dxa"/>
            <w:shd w:val="clear" w:color="auto" w:fill="auto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F60850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7.B.1(c)</w:t>
            </w:r>
          </w:p>
        </w:tc>
        <w:tc>
          <w:tcPr>
            <w:tcW w:w="7938" w:type="dxa"/>
            <w:shd w:val="clear" w:color="auto" w:fill="auto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F60850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7.B.1(d)</w:t>
            </w:r>
          </w:p>
        </w:tc>
        <w:tc>
          <w:tcPr>
            <w:tcW w:w="7938" w:type="dxa"/>
            <w:shd w:val="clear" w:color="auto" w:fill="auto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F60850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7.B.9</w:t>
            </w:r>
          </w:p>
        </w:tc>
        <w:tc>
          <w:tcPr>
            <w:tcW w:w="7938" w:type="dxa"/>
            <w:shd w:val="clear" w:color="auto" w:fill="auto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B73E32" w:rsidRDefault="00F040C1" w:rsidP="00F040C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7.B.17(a)</w:t>
            </w:r>
          </w:p>
        </w:tc>
        <w:tc>
          <w:tcPr>
            <w:tcW w:w="7938" w:type="dxa"/>
            <w:shd w:val="clear" w:color="auto" w:fill="auto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:rsidR="00F040C1" w:rsidRPr="00F057DE" w:rsidRDefault="00F040C1" w:rsidP="00F040C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7.B.17(b)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F60850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7.B.20</w:t>
            </w:r>
          </w:p>
        </w:tc>
        <w:tc>
          <w:tcPr>
            <w:tcW w:w="7938" w:type="dxa"/>
            <w:shd w:val="clear" w:color="auto" w:fill="auto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7.B.21</w:t>
            </w:r>
          </w:p>
        </w:tc>
        <w:tc>
          <w:tcPr>
            <w:tcW w:w="7938" w:type="dxa"/>
            <w:shd w:val="clear" w:color="auto" w:fill="auto"/>
          </w:tcPr>
          <w:p w:rsidR="00F040C1" w:rsidRPr="00D6056F" w:rsidRDefault="00F040C1" w:rsidP="00D605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:rsidR="00F040C1" w:rsidRPr="00EB2C64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7.B.21(a)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F040C1" w:rsidRPr="00D6056F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B2C64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7.B.21(b)</w:t>
            </w:r>
          </w:p>
        </w:tc>
        <w:tc>
          <w:tcPr>
            <w:tcW w:w="7938" w:type="dxa"/>
            <w:shd w:val="clear" w:color="auto" w:fill="auto"/>
          </w:tcPr>
          <w:p w:rsidR="00F040C1" w:rsidRPr="00D6056F" w:rsidRDefault="00F040C1" w:rsidP="00D605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B2C64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7.B.21(c)</w:t>
            </w:r>
          </w:p>
        </w:tc>
        <w:tc>
          <w:tcPr>
            <w:tcW w:w="7938" w:type="dxa"/>
            <w:shd w:val="clear" w:color="auto" w:fill="auto"/>
          </w:tcPr>
          <w:p w:rsidR="00F040C1" w:rsidRPr="00D6056F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Pr="00EB2C64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7.B.22</w:t>
            </w:r>
          </w:p>
        </w:tc>
        <w:tc>
          <w:tcPr>
            <w:tcW w:w="7938" w:type="dxa"/>
          </w:tcPr>
          <w:p w:rsidR="00F040C1" w:rsidRPr="00D6056F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Pr="00B73E32" w:rsidRDefault="00F040C1" w:rsidP="00F040C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7.B.23</w:t>
            </w:r>
          </w:p>
        </w:tc>
        <w:tc>
          <w:tcPr>
            <w:tcW w:w="7938" w:type="dxa"/>
          </w:tcPr>
          <w:p w:rsidR="00F040C1" w:rsidRPr="00D6056F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402BB3">
        <w:tc>
          <w:tcPr>
            <w:tcW w:w="2411" w:type="dxa"/>
            <w:tcBorders>
              <w:bottom w:val="single" w:sz="4" w:space="0" w:color="auto"/>
            </w:tcBorders>
          </w:tcPr>
          <w:p w:rsidR="00F040C1" w:rsidRPr="00EB2C64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7.C.14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F040C1" w:rsidRPr="00D6056F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402BB3"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:rsidR="00F040C1" w:rsidRPr="00EB2C64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7.D.2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F040C1" w:rsidRPr="00D6056F" w:rsidRDefault="00F040C1" w:rsidP="00D605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:rsidR="00F040C1" w:rsidRPr="00EB2C64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7.D.5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F040C1" w:rsidRDefault="00F040C1" w:rsidP="00D605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7E99">
              <w:rPr>
                <w:rFonts w:ascii="Arial" w:hAnsi="Arial" w:cs="Arial"/>
                <w:sz w:val="20"/>
                <w:szCs w:val="20"/>
              </w:rPr>
              <w:t>7.D.11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7E99">
              <w:rPr>
                <w:rFonts w:ascii="Arial" w:hAnsi="Arial" w:cs="Arial"/>
                <w:sz w:val="20"/>
                <w:szCs w:val="20"/>
              </w:rPr>
              <w:t>7.G.1(d)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7E99">
              <w:rPr>
                <w:rFonts w:ascii="Arial" w:hAnsi="Arial" w:cs="Arial"/>
                <w:sz w:val="20"/>
                <w:szCs w:val="20"/>
              </w:rPr>
              <w:t>7.G.1(e)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402B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7E99">
              <w:rPr>
                <w:rFonts w:ascii="Arial" w:hAnsi="Arial" w:cs="Arial"/>
                <w:sz w:val="20"/>
                <w:szCs w:val="20"/>
              </w:rPr>
              <w:t>7.G.1(f)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7E99">
              <w:rPr>
                <w:rFonts w:ascii="Arial" w:hAnsi="Arial" w:cs="Arial"/>
                <w:sz w:val="20"/>
                <w:szCs w:val="20"/>
              </w:rPr>
              <w:t>7.G.1(</w:t>
            </w:r>
            <w:proofErr w:type="spellStart"/>
            <w:r w:rsidRPr="00EA7E99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EA7E9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7E99">
              <w:rPr>
                <w:rFonts w:ascii="Arial" w:hAnsi="Arial" w:cs="Arial"/>
                <w:sz w:val="20"/>
                <w:szCs w:val="20"/>
              </w:rPr>
              <w:t>7.G.1(j)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8.16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8.18(a)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8.18(b)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8.18(c)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8.19(a)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8.19(b)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8.30(a)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8.30(b)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8.30(c)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8.30(d)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8.31(a)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8.31(b)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8.31(c)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8.31(d)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8.32(a)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8.32(b)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8.51(a)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8.51(b)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8.51(c)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8.51(d)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8.51(e)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8.51(f)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8.51(g)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8.54(a)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8.54(b)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8.55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8.56(a)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8.56(b)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Default="00F040C1" w:rsidP="00F040C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16.17(d)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Default="00F040C1" w:rsidP="00F040C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Appendix to 16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Default="00F040C1" w:rsidP="00F040C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21.7(a)</w:t>
            </w:r>
          </w:p>
        </w:tc>
        <w:tc>
          <w:tcPr>
            <w:tcW w:w="7938" w:type="dxa"/>
          </w:tcPr>
          <w:p w:rsidR="00F040C1" w:rsidRPr="004F065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4F0659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4F0659">
              <w:rPr>
                <w:rFonts w:ascii="Arial" w:hAnsi="Arial" w:cs="Arial"/>
                <w:i/>
                <w:sz w:val="20"/>
                <w:szCs w:val="20"/>
              </w:rPr>
              <w:t>AltX</w:t>
            </w:r>
            <w:proofErr w:type="spellEnd"/>
            <w:r w:rsidRPr="004F0659">
              <w:rPr>
                <w:rFonts w:ascii="Arial" w:hAnsi="Arial" w:cs="Arial"/>
                <w:i/>
                <w:sz w:val="20"/>
                <w:szCs w:val="20"/>
              </w:rPr>
              <w:t xml:space="preserve"> companies)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F040C1" w:rsidTr="003F18C2">
        <w:tc>
          <w:tcPr>
            <w:tcW w:w="2411" w:type="dxa"/>
          </w:tcPr>
          <w:p w:rsidR="00F040C1" w:rsidRDefault="00F040C1" w:rsidP="00F040C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21.7(b)</w:t>
            </w:r>
          </w:p>
        </w:tc>
        <w:tc>
          <w:tcPr>
            <w:tcW w:w="7938" w:type="dxa"/>
          </w:tcPr>
          <w:p w:rsidR="00F040C1" w:rsidRPr="004F065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4F0659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4F0659">
              <w:rPr>
                <w:rFonts w:ascii="Arial" w:hAnsi="Arial" w:cs="Arial"/>
                <w:i/>
                <w:sz w:val="20"/>
                <w:szCs w:val="20"/>
              </w:rPr>
              <w:t>AltX</w:t>
            </w:r>
            <w:proofErr w:type="spellEnd"/>
            <w:r w:rsidRPr="004F0659">
              <w:rPr>
                <w:rFonts w:ascii="Arial" w:hAnsi="Arial" w:cs="Arial"/>
                <w:i/>
                <w:sz w:val="20"/>
                <w:szCs w:val="20"/>
              </w:rPr>
              <w:t xml:space="preserve"> companies)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F040C1" w:rsidTr="003F18C2">
        <w:tc>
          <w:tcPr>
            <w:tcW w:w="2411" w:type="dxa"/>
          </w:tcPr>
          <w:p w:rsidR="00F040C1" w:rsidRDefault="00F040C1" w:rsidP="00F0573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0573B">
              <w:rPr>
                <w:rFonts w:ascii="Arial" w:hAnsi="Arial" w:cs="Arial"/>
                <w:sz w:val="20"/>
                <w:szCs w:val="20"/>
              </w:rPr>
              <w:t>S2</w:t>
            </w:r>
            <w:r w:rsidR="004E4395" w:rsidRPr="00F0573B">
              <w:rPr>
                <w:rFonts w:ascii="Arial" w:hAnsi="Arial" w:cs="Arial"/>
                <w:sz w:val="20"/>
                <w:szCs w:val="20"/>
              </w:rPr>
              <w:t xml:space="preserve"> Form </w:t>
            </w:r>
            <w:r w:rsidR="00F0573B" w:rsidRPr="00F0573B">
              <w:rPr>
                <w:rFonts w:ascii="Arial" w:hAnsi="Arial" w:cs="Arial"/>
                <w:sz w:val="20"/>
                <w:szCs w:val="20"/>
              </w:rPr>
              <w:t>A4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040C1" w:rsidTr="003F18C2">
        <w:tc>
          <w:tcPr>
            <w:tcW w:w="2411" w:type="dxa"/>
          </w:tcPr>
          <w:p w:rsidR="00F040C1" w:rsidRDefault="00F040C1" w:rsidP="00F040C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S17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7473" w:rsidRPr="00F040C1" w:rsidRDefault="00BE7473" w:rsidP="00F040C1"/>
    <w:sectPr w:rsidR="00BE7473" w:rsidRPr="00F040C1" w:rsidSect="00D6056F">
      <w:footerReference w:type="default" r:id="rId11"/>
      <w:pgSz w:w="12240" w:h="15840"/>
      <w:pgMar w:top="1134" w:right="1134" w:bottom="1134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E38" w:rsidRDefault="00816E38">
      <w:r>
        <w:separator/>
      </w:r>
    </w:p>
  </w:endnote>
  <w:endnote w:type="continuationSeparator" w:id="0">
    <w:p w:rsidR="00816E38" w:rsidRDefault="0081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433" w:rsidRDefault="00E00D27" w:rsidP="00830AD3">
    <w:pPr>
      <w:pStyle w:val="Footer"/>
      <w:framePr w:wrap="auto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 w:rsidR="00F0573B"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  <w:p w:rsidR="00796433" w:rsidRDefault="00816E38" w:rsidP="00855C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E38" w:rsidRDefault="00816E38">
      <w:r>
        <w:separator/>
      </w:r>
    </w:p>
  </w:footnote>
  <w:footnote w:type="continuationSeparator" w:id="0">
    <w:p w:rsidR="00816E38" w:rsidRDefault="00816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857EF"/>
    <w:multiLevelType w:val="hybridMultilevel"/>
    <w:tmpl w:val="72D853CA"/>
    <w:lvl w:ilvl="0" w:tplc="6FB4F054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6F7C7C"/>
    <w:multiLevelType w:val="hybridMultilevel"/>
    <w:tmpl w:val="E8E09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2B12A1"/>
    <w:multiLevelType w:val="hybridMultilevel"/>
    <w:tmpl w:val="D612FF8E"/>
    <w:lvl w:ilvl="0" w:tplc="5E182A2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15666B6"/>
    <w:multiLevelType w:val="hybridMultilevel"/>
    <w:tmpl w:val="2B5A9A16"/>
    <w:lvl w:ilvl="0" w:tplc="A59258B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D43"/>
    <w:rsid w:val="00025128"/>
    <w:rsid w:val="00035935"/>
    <w:rsid w:val="00220021"/>
    <w:rsid w:val="002961E0"/>
    <w:rsid w:val="002A47E1"/>
    <w:rsid w:val="00314E66"/>
    <w:rsid w:val="00402BB3"/>
    <w:rsid w:val="004E4395"/>
    <w:rsid w:val="00685853"/>
    <w:rsid w:val="00775E6E"/>
    <w:rsid w:val="007E1A9E"/>
    <w:rsid w:val="00816E38"/>
    <w:rsid w:val="008643EB"/>
    <w:rsid w:val="008A1AC8"/>
    <w:rsid w:val="008B0D43"/>
    <w:rsid w:val="00AB3092"/>
    <w:rsid w:val="00BE7473"/>
    <w:rsid w:val="00C8566A"/>
    <w:rsid w:val="00D54B08"/>
    <w:rsid w:val="00D6056F"/>
    <w:rsid w:val="00D77827"/>
    <w:rsid w:val="00E00D27"/>
    <w:rsid w:val="00E82C6D"/>
    <w:rsid w:val="00EA7E99"/>
    <w:rsid w:val="00F040C1"/>
    <w:rsid w:val="00F0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935"/>
    <w:pPr>
      <w:keepNext/>
      <w:spacing w:after="12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Ending">
    <w:name w:val="AutoEnding"/>
    <w:basedOn w:val="Normal"/>
    <w:next w:val="Normal"/>
    <w:link w:val="AutoEndingChar"/>
    <w:rsid w:val="00775E6E"/>
    <w:rPr>
      <w:lang w:val="en-GB"/>
    </w:rPr>
  </w:style>
  <w:style w:type="character" w:customStyle="1" w:styleId="AutoEndingChar">
    <w:name w:val="AutoEnding Char"/>
    <w:basedOn w:val="DefaultParagraphFont"/>
    <w:link w:val="AutoEnding"/>
    <w:rsid w:val="00775E6E"/>
    <w:rPr>
      <w:rFonts w:ascii="Calibri" w:eastAsia="Times New Roman" w:hAnsi="Calibri" w:cs="Times New Roman"/>
      <w:sz w:val="20"/>
      <w:lang w:val="en-GB"/>
    </w:rPr>
  </w:style>
  <w:style w:type="character" w:styleId="IntenseReference">
    <w:name w:val="Intense Reference"/>
    <w:basedOn w:val="DefaultParagraphFont"/>
    <w:uiPriority w:val="32"/>
    <w:rsid w:val="00035935"/>
    <w:rPr>
      <w:b/>
      <w:bCs/>
      <w:smallCaps/>
      <w:color w:val="009FE3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5935"/>
    <w:rPr>
      <w:rFonts w:ascii="Calibri" w:eastAsiaTheme="majorEastAsia" w:hAnsi="Calibri" w:cstheme="majorBidi"/>
      <w:b/>
      <w:bCs/>
      <w:caps/>
      <w:sz w:val="20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4B08"/>
    <w:pPr>
      <w:spacing w:line="480" w:lineRule="auto"/>
    </w:pPr>
    <w:rPr>
      <w:caps/>
    </w:rPr>
  </w:style>
  <w:style w:type="table" w:styleId="TableGrid">
    <w:name w:val="Table Grid"/>
    <w:basedOn w:val="TableNormal"/>
    <w:uiPriority w:val="99"/>
    <w:rsid w:val="008B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B0D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D4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B0D43"/>
    <w:rPr>
      <w:rFonts w:cs="Times New Roman"/>
    </w:rPr>
  </w:style>
  <w:style w:type="table" w:customStyle="1" w:styleId="TableGrid1">
    <w:name w:val="Table Grid1"/>
    <w:basedOn w:val="TableNormal"/>
    <w:next w:val="TableGrid"/>
    <w:uiPriority w:val="99"/>
    <w:rsid w:val="008B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935"/>
    <w:pPr>
      <w:keepNext/>
      <w:spacing w:after="12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Ending">
    <w:name w:val="AutoEnding"/>
    <w:basedOn w:val="Normal"/>
    <w:next w:val="Normal"/>
    <w:link w:val="AutoEndingChar"/>
    <w:rsid w:val="00775E6E"/>
    <w:rPr>
      <w:lang w:val="en-GB"/>
    </w:rPr>
  </w:style>
  <w:style w:type="character" w:customStyle="1" w:styleId="AutoEndingChar">
    <w:name w:val="AutoEnding Char"/>
    <w:basedOn w:val="DefaultParagraphFont"/>
    <w:link w:val="AutoEnding"/>
    <w:rsid w:val="00775E6E"/>
    <w:rPr>
      <w:rFonts w:ascii="Calibri" w:eastAsia="Times New Roman" w:hAnsi="Calibri" w:cs="Times New Roman"/>
      <w:sz w:val="20"/>
      <w:lang w:val="en-GB"/>
    </w:rPr>
  </w:style>
  <w:style w:type="character" w:styleId="IntenseReference">
    <w:name w:val="Intense Reference"/>
    <w:basedOn w:val="DefaultParagraphFont"/>
    <w:uiPriority w:val="32"/>
    <w:rsid w:val="00035935"/>
    <w:rPr>
      <w:b/>
      <w:bCs/>
      <w:smallCaps/>
      <w:color w:val="009FE3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5935"/>
    <w:rPr>
      <w:rFonts w:ascii="Calibri" w:eastAsiaTheme="majorEastAsia" w:hAnsi="Calibri" w:cstheme="majorBidi"/>
      <w:b/>
      <w:bCs/>
      <w:caps/>
      <w:sz w:val="20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4B08"/>
    <w:pPr>
      <w:spacing w:line="480" w:lineRule="auto"/>
    </w:pPr>
    <w:rPr>
      <w:caps/>
    </w:rPr>
  </w:style>
  <w:style w:type="table" w:styleId="TableGrid">
    <w:name w:val="Table Grid"/>
    <w:basedOn w:val="TableNormal"/>
    <w:uiPriority w:val="99"/>
    <w:rsid w:val="008B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B0D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D4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B0D43"/>
    <w:rPr>
      <w:rFonts w:cs="Times New Roman"/>
    </w:rPr>
  </w:style>
  <w:style w:type="table" w:customStyle="1" w:styleId="TableGrid1">
    <w:name w:val="Table Grid1"/>
    <w:basedOn w:val="TableNormal"/>
    <w:next w:val="TableGrid"/>
    <w:uiPriority w:val="99"/>
    <w:rsid w:val="008B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JSE">
      <a:dk1>
        <a:srgbClr val="000000"/>
      </a:dk1>
      <a:lt1>
        <a:srgbClr val="FFFFFF"/>
      </a:lt1>
      <a:dk2>
        <a:srgbClr val="94D600"/>
      </a:dk2>
      <a:lt2>
        <a:srgbClr val="FFFFFF"/>
      </a:lt2>
      <a:accent1>
        <a:srgbClr val="F32836"/>
      </a:accent1>
      <a:accent2>
        <a:srgbClr val="009FE3"/>
      </a:accent2>
      <a:accent3>
        <a:srgbClr val="FFCE00"/>
      </a:accent3>
      <a:accent4>
        <a:srgbClr val="00A888"/>
      </a:accent4>
      <a:accent5>
        <a:srgbClr val="C8FF4D"/>
      </a:accent5>
      <a:accent6>
        <a:srgbClr val="55CCFF"/>
      </a:accent6>
      <a:hlink>
        <a:srgbClr val="18424D"/>
      </a:hlink>
      <a:folHlink>
        <a:srgbClr val="64050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Checklists" ma:contentTypeID="0x01010025A8B514A743974EAD575655CE652373090024BEDFD4BCD3BA408E6C01F70F70B29B" ma:contentTypeVersion="2" ma:contentTypeDescription="Create a new document." ma:contentTypeScope="" ma:versionID="c2b648347f5b538b0ca16fc0f69d61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9c020be8bb5e7ec06a39f2d3f2060ca4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2016-04-05T22:00:00+00:00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Issuer Regulation</TermName>
          <TermId xmlns="http://schemas.microsoft.com/office/infopath/2007/PartnerControls">99067b85-c558-44a1-b781-11281df7a622</TermId>
        </TermInfo>
      </Terms>
    </j50c28d78dcf4727baa6c3ad504fae7e>
    <JSEDisplayPriority xmlns="a5d7cc70-31c1-4b2e-9a12-faea9898ee50" xsi:nil="true"/>
    <TaxCatchAll xmlns="a5d7cc70-31c1-4b2e-9a12-faea9898ee50">
      <Value>15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23A9BC-10DF-42BC-A1AB-ABF45A778D14}"/>
</file>

<file path=customXml/itemProps2.xml><?xml version="1.0" encoding="utf-8"?>
<ds:datastoreItem xmlns:ds="http://schemas.openxmlformats.org/officeDocument/2006/customXml" ds:itemID="{1758CB53-61C6-402C-86E6-7EDF5A42DF26}"/>
</file>

<file path=customXml/itemProps3.xml><?xml version="1.0" encoding="utf-8"?>
<ds:datastoreItem xmlns:ds="http://schemas.openxmlformats.org/officeDocument/2006/customXml" ds:itemID="{F93E214C-2BAC-49EA-8A6A-70E6E7473D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of shares for cash Specific</vt:lpstr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of shares for cash Specific</dc:title>
  <dc:creator>Jacques Botha</dc:creator>
  <cp:lastModifiedBy>Craig R</cp:lastModifiedBy>
  <cp:revision>5</cp:revision>
  <dcterms:created xsi:type="dcterms:W3CDTF">2016-02-23T08:21:00Z</dcterms:created>
  <dcterms:modified xsi:type="dcterms:W3CDTF">2016-03-31T10:15:00Z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0x01010025A8B514A743974EAD575655CE652373090024BEDFD4BCD3BA408E6C01F70F70B29B</vt:lpwstr>
  </property>
  <property fmtid="{D5CDD505-2E9C-101B-9397-08002B2CF9AE}" pid="3" name="JSENavigation">
    <vt:lpwstr>15;#Issuer Regulation|99067b85-c558-44a1-b781-11281df7a622</vt:lpwstr>
  </property>
</Properties>
</file>