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38" w:rsidRDefault="00081F38"/>
    <w:tbl>
      <w:tblPr>
        <w:tblStyle w:val="TableGrid"/>
        <w:tblW w:w="14389" w:type="dxa"/>
        <w:tblInd w:w="-885" w:type="dxa"/>
        <w:tblLook w:val="04A0" w:firstRow="1" w:lastRow="0" w:firstColumn="1" w:lastColumn="0" w:noHBand="0" w:noVBand="1"/>
      </w:tblPr>
      <w:tblGrid>
        <w:gridCol w:w="7008"/>
        <w:gridCol w:w="3760"/>
        <w:gridCol w:w="3621"/>
      </w:tblGrid>
      <w:tr w:rsidR="00386983" w:rsidRPr="0009120C" w:rsidTr="00386983">
        <w:tc>
          <w:tcPr>
            <w:tcW w:w="7008" w:type="dxa"/>
            <w:shd w:val="clear" w:color="auto" w:fill="BFBFBF" w:themeFill="background1" w:themeFillShade="BF"/>
          </w:tcPr>
          <w:p w:rsidR="00386983" w:rsidRPr="0009120C" w:rsidRDefault="00386983" w:rsidP="0009120C">
            <w:pPr>
              <w:jc w:val="left"/>
              <w:rPr>
                <w:rFonts w:asciiTheme="minorHAnsi" w:hAnsiTheme="minorHAnsi" w:cs="Arial"/>
                <w:b/>
                <w:sz w:val="22"/>
              </w:rPr>
            </w:pPr>
            <w:r w:rsidRPr="0009120C">
              <w:rPr>
                <w:rFonts w:asciiTheme="minorHAnsi" w:hAnsiTheme="minorHAnsi" w:cs="Arial"/>
                <w:b/>
                <w:sz w:val="22"/>
              </w:rPr>
              <w:t>Index disclosures and acceptable index calculators</w:t>
            </w:r>
          </w:p>
        </w:tc>
        <w:tc>
          <w:tcPr>
            <w:tcW w:w="3760" w:type="dxa"/>
            <w:shd w:val="clear" w:color="auto" w:fill="BFBFBF" w:themeFill="background1" w:themeFillShade="BF"/>
          </w:tcPr>
          <w:p w:rsidR="00386983" w:rsidRPr="00386983" w:rsidRDefault="00386983" w:rsidP="00386983">
            <w:pPr>
              <w:jc w:val="left"/>
              <w:rPr>
                <w:rFonts w:ascii="Arial" w:hAnsi="Arial" w:cs="Arial"/>
                <w:szCs w:val="20"/>
              </w:rPr>
            </w:pPr>
          </w:p>
        </w:tc>
        <w:tc>
          <w:tcPr>
            <w:tcW w:w="3621" w:type="dxa"/>
            <w:shd w:val="clear" w:color="auto" w:fill="BFBFBF" w:themeFill="background1" w:themeFillShade="BF"/>
          </w:tcPr>
          <w:p w:rsidR="00386983" w:rsidRPr="00386983" w:rsidRDefault="00386983" w:rsidP="00386983">
            <w:pPr>
              <w:jc w:val="left"/>
              <w:rPr>
                <w:rFonts w:ascii="Arial" w:hAnsi="Arial" w:cs="Arial"/>
                <w:szCs w:val="20"/>
              </w:rPr>
            </w:pPr>
          </w:p>
        </w:tc>
      </w:tr>
      <w:tr w:rsidR="00386983" w:rsidRPr="0009120C" w:rsidTr="00386983">
        <w:tc>
          <w:tcPr>
            <w:tcW w:w="7008" w:type="dxa"/>
            <w:shd w:val="clear" w:color="auto" w:fill="BFBFBF" w:themeFill="background1" w:themeFillShade="BF"/>
          </w:tcPr>
          <w:p w:rsidR="00386983" w:rsidRPr="0009120C" w:rsidRDefault="00386983" w:rsidP="0009120C">
            <w:pPr>
              <w:jc w:val="left"/>
              <w:rPr>
                <w:rFonts w:asciiTheme="minorHAnsi" w:hAnsiTheme="minorHAnsi" w:cs="Arial"/>
                <w:b/>
                <w:sz w:val="22"/>
              </w:rPr>
            </w:pPr>
            <w:r w:rsidRPr="0009120C">
              <w:rPr>
                <w:rFonts w:asciiTheme="minorHAnsi" w:hAnsiTheme="minorHAnsi" w:cs="Arial"/>
                <w:b/>
                <w:sz w:val="22"/>
              </w:rPr>
              <w:t>General</w:t>
            </w:r>
          </w:p>
        </w:tc>
        <w:tc>
          <w:tcPr>
            <w:tcW w:w="3760" w:type="dxa"/>
            <w:shd w:val="clear" w:color="auto" w:fill="BFBFBF" w:themeFill="background1" w:themeFillShade="BF"/>
          </w:tcPr>
          <w:p w:rsidR="00386983" w:rsidRPr="0009120C" w:rsidRDefault="00386983" w:rsidP="0009120C">
            <w:pPr>
              <w:jc w:val="left"/>
              <w:rPr>
                <w:rFonts w:ascii="Arial" w:hAnsi="Arial" w:cs="Arial"/>
                <w:szCs w:val="20"/>
              </w:rPr>
            </w:pPr>
          </w:p>
        </w:tc>
        <w:tc>
          <w:tcPr>
            <w:tcW w:w="3621" w:type="dxa"/>
            <w:shd w:val="clear" w:color="auto" w:fill="BFBFBF" w:themeFill="background1" w:themeFillShade="BF"/>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725603" w:rsidRDefault="00386983" w:rsidP="0009120C">
            <w:pPr>
              <w:jc w:val="left"/>
              <w:rPr>
                <w:rFonts w:asciiTheme="minorHAnsi" w:hAnsiTheme="minorHAnsi" w:cs="Arial"/>
                <w:szCs w:val="20"/>
                <w:highlight w:val="yellow"/>
              </w:rPr>
            </w:pPr>
            <w:r w:rsidRPr="00386983">
              <w:rPr>
                <w:rFonts w:asciiTheme="minorHAnsi" w:hAnsiTheme="minorHAnsi" w:cs="Arial"/>
                <w:szCs w:val="20"/>
              </w:rPr>
              <w:t>19.31) Issuers wishing to list any instruments where an index in referenced must ensure that the ground rules comply with paragraph 19.35 and index calculators must comply with paragraphs 19.36 to 19.41.</w:t>
            </w:r>
          </w:p>
        </w:tc>
        <w:tc>
          <w:tcPr>
            <w:tcW w:w="3760" w:type="dxa"/>
            <w:shd w:val="clear" w:color="auto" w:fill="FFFFFF" w:themeFill="background1"/>
          </w:tcPr>
          <w:p w:rsidR="00386983" w:rsidRPr="00725603" w:rsidRDefault="00043FD0" w:rsidP="00F81E0C">
            <w:pPr>
              <w:jc w:val="left"/>
              <w:rPr>
                <w:rFonts w:ascii="Arial" w:hAnsi="Arial" w:cs="Arial"/>
                <w:szCs w:val="20"/>
                <w:highlight w:val="yellow"/>
              </w:rPr>
            </w:pPr>
            <w:r>
              <w:rPr>
                <w:rFonts w:ascii="Arial" w:hAnsi="Arial" w:cs="Arial"/>
                <w:szCs w:val="20"/>
              </w:rPr>
              <w:t>Issuer please note</w:t>
            </w:r>
            <w:bookmarkStart w:id="0" w:name="_GoBack"/>
            <w:bookmarkEnd w:id="0"/>
          </w:p>
        </w:tc>
        <w:tc>
          <w:tcPr>
            <w:tcW w:w="3621" w:type="dxa"/>
            <w:shd w:val="clear" w:color="auto" w:fill="FFFFFF" w:themeFill="background1"/>
          </w:tcPr>
          <w:p w:rsidR="00386983" w:rsidRPr="00386983" w:rsidRDefault="00386983" w:rsidP="00F81E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19.32) As per the JSE’s website.</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19.33) Issuers must submit an application to the JSE illustrating full compliance with paragraphs 19.35 to 19.41 prior to the listing of any instrument with an index as underlying.</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 xml:space="preserve">19.34) Issuers will not be permitted to make use of an index without a valid index license agreement obtained from the index sponsor. </w:t>
            </w:r>
          </w:p>
        </w:tc>
        <w:tc>
          <w:tcPr>
            <w:tcW w:w="3760" w:type="dxa"/>
            <w:shd w:val="clear" w:color="auto" w:fill="FFFFFF" w:themeFill="background1"/>
          </w:tcPr>
          <w:p w:rsidR="00386983" w:rsidRPr="0009120C" w:rsidRDefault="00D00F61" w:rsidP="00386983">
            <w:pPr>
              <w:jc w:val="left"/>
              <w:rPr>
                <w:rFonts w:ascii="Arial" w:hAnsi="Arial" w:cs="Arial"/>
                <w:szCs w:val="20"/>
              </w:rPr>
            </w:pPr>
            <w:r>
              <w:rPr>
                <w:rFonts w:ascii="Arial" w:hAnsi="Arial" w:cs="Arial"/>
                <w:szCs w:val="20"/>
              </w:rPr>
              <w:t>Please note</w:t>
            </w:r>
            <w:r w:rsidR="00386983">
              <w:rPr>
                <w:rFonts w:ascii="Arial" w:hAnsi="Arial" w:cs="Arial"/>
                <w:szCs w:val="20"/>
              </w:rPr>
              <w:t xml:space="preserve"> </w:t>
            </w:r>
          </w:p>
        </w:tc>
        <w:tc>
          <w:tcPr>
            <w:tcW w:w="3621" w:type="dxa"/>
            <w:shd w:val="clear" w:color="auto" w:fill="FFFFFF" w:themeFill="background1"/>
          </w:tcPr>
          <w:p w:rsidR="00386983" w:rsidRPr="00386983" w:rsidRDefault="00386983" w:rsidP="00386983">
            <w:pPr>
              <w:jc w:val="left"/>
              <w:rPr>
                <w:rFonts w:ascii="Arial" w:hAnsi="Arial" w:cs="Arial"/>
                <w:szCs w:val="20"/>
              </w:rPr>
            </w:pPr>
          </w:p>
        </w:tc>
      </w:tr>
      <w:tr w:rsidR="00386983" w:rsidRPr="0009120C" w:rsidTr="00386983">
        <w:tc>
          <w:tcPr>
            <w:tcW w:w="7008" w:type="dxa"/>
            <w:shd w:val="clear" w:color="auto" w:fill="BFBFBF" w:themeFill="background1" w:themeFillShade="BF"/>
          </w:tcPr>
          <w:p w:rsidR="00386983" w:rsidRPr="0009120C" w:rsidRDefault="00386983" w:rsidP="0009120C">
            <w:pPr>
              <w:jc w:val="left"/>
              <w:rPr>
                <w:rFonts w:asciiTheme="minorHAnsi" w:hAnsiTheme="minorHAnsi" w:cs="Arial"/>
                <w:b/>
                <w:sz w:val="22"/>
              </w:rPr>
            </w:pPr>
            <w:r w:rsidRPr="0009120C">
              <w:rPr>
                <w:rFonts w:asciiTheme="minorHAnsi" w:hAnsiTheme="minorHAnsi" w:cs="Arial"/>
                <w:b/>
                <w:sz w:val="22"/>
              </w:rPr>
              <w:t>Transparency</w:t>
            </w:r>
          </w:p>
        </w:tc>
        <w:tc>
          <w:tcPr>
            <w:tcW w:w="3760" w:type="dxa"/>
            <w:shd w:val="clear" w:color="auto" w:fill="BFBFBF" w:themeFill="background1" w:themeFillShade="BF"/>
          </w:tcPr>
          <w:p w:rsidR="00386983" w:rsidRPr="005C164A" w:rsidRDefault="00386983" w:rsidP="005C164A">
            <w:pPr>
              <w:pStyle w:val="ListParagraph"/>
              <w:numPr>
                <w:ilvl w:val="0"/>
                <w:numId w:val="11"/>
              </w:numPr>
              <w:jc w:val="left"/>
              <w:rPr>
                <w:rFonts w:ascii="Arial" w:hAnsi="Arial" w:cs="Arial"/>
                <w:szCs w:val="20"/>
              </w:rPr>
            </w:pPr>
          </w:p>
        </w:tc>
        <w:tc>
          <w:tcPr>
            <w:tcW w:w="3621" w:type="dxa"/>
            <w:shd w:val="clear" w:color="auto" w:fill="BFBFBF" w:themeFill="background1" w:themeFillShade="BF"/>
          </w:tcPr>
          <w:p w:rsidR="00386983" w:rsidRPr="005C164A" w:rsidRDefault="00386983" w:rsidP="005C164A">
            <w:pPr>
              <w:pStyle w:val="ListParagraph"/>
              <w:numPr>
                <w:ilvl w:val="0"/>
                <w:numId w:val="11"/>
              </w:num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 xml:space="preserve">19.35) The construction of the index, including the treatment of various corporate actions (where applicable), must be clearly documented in a ground rule summary document and this document must be publicly available on the issuer’s website to ensure full transparency. </w:t>
            </w:r>
          </w:p>
        </w:tc>
        <w:tc>
          <w:tcPr>
            <w:tcW w:w="3760" w:type="dxa"/>
            <w:shd w:val="clear" w:color="auto" w:fill="FFFFFF" w:themeFill="background1"/>
          </w:tcPr>
          <w:p w:rsidR="00386983" w:rsidRPr="0009120C" w:rsidRDefault="00386983" w:rsidP="0009120C">
            <w:pPr>
              <w:jc w:val="left"/>
              <w:rPr>
                <w:rFonts w:ascii="Arial" w:hAnsi="Arial" w:cs="Arial"/>
                <w:szCs w:val="20"/>
              </w:rPr>
            </w:pPr>
            <w:r>
              <w:rPr>
                <w:rFonts w:ascii="Arial" w:hAnsi="Arial" w:cs="Arial"/>
                <w:szCs w:val="20"/>
              </w:rPr>
              <w:t xml:space="preserve"> Please note</w:t>
            </w:r>
          </w:p>
        </w:tc>
        <w:tc>
          <w:tcPr>
            <w:tcW w:w="3621" w:type="dxa"/>
            <w:shd w:val="clear" w:color="auto" w:fill="FFFFFF" w:themeFill="background1"/>
          </w:tcPr>
          <w:p w:rsidR="00386983"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 xml:space="preserve">The JSE will have regard to the following principles in considering whether the comprehensive ground rules document is acceptable - </w:t>
            </w:r>
          </w:p>
        </w:tc>
        <w:tc>
          <w:tcPr>
            <w:tcW w:w="3760" w:type="dxa"/>
            <w:shd w:val="clear" w:color="auto" w:fill="FFFFFF" w:themeFill="background1"/>
          </w:tcPr>
          <w:p w:rsidR="00386983" w:rsidRPr="0009120C" w:rsidRDefault="00386983" w:rsidP="0009120C">
            <w:pPr>
              <w:jc w:val="left"/>
              <w:rPr>
                <w:rFonts w:ascii="Arial" w:hAnsi="Arial" w:cs="Arial"/>
                <w:szCs w:val="20"/>
              </w:rPr>
            </w:pPr>
            <w:r>
              <w:rPr>
                <w:rFonts w:ascii="Arial" w:hAnsi="Arial" w:cs="Arial"/>
                <w:szCs w:val="20"/>
              </w:rPr>
              <w:t>Please note</w:t>
            </w:r>
          </w:p>
        </w:tc>
        <w:tc>
          <w:tcPr>
            <w:tcW w:w="3621" w:type="dxa"/>
            <w:shd w:val="clear" w:color="auto" w:fill="FFFFFF" w:themeFill="background1"/>
          </w:tcPr>
          <w:p w:rsidR="00386983"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sidRPr="0009120C">
              <w:rPr>
                <w:rFonts w:asciiTheme="minorHAnsi" w:hAnsiTheme="minorHAnsi" w:cs="Arial"/>
                <w:szCs w:val="20"/>
              </w:rPr>
              <w:t>(a</w:t>
            </w:r>
            <w:r>
              <w:rPr>
                <w:rFonts w:asciiTheme="minorHAnsi" w:hAnsiTheme="minorHAnsi" w:cs="Arial"/>
                <w:szCs w:val="20"/>
              </w:rPr>
              <w:t>) Basic constitution of the index and corporate actions to be dealt with timeously, objectively, and consistently</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(b) Details of index reviews and their intervals must be clearly disclosed</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(c) Ground rules must ensure that the index is free of any type of manipulation by the index calculator or issuer</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 xml:space="preserve">(d) it must include details of the process involved for changes to index, including </w:t>
            </w:r>
            <w:proofErr w:type="spellStart"/>
            <w:r>
              <w:rPr>
                <w:rFonts w:asciiTheme="minorHAnsi" w:hAnsiTheme="minorHAnsi" w:cs="Arial"/>
                <w:szCs w:val="20"/>
              </w:rPr>
              <w:t>corp</w:t>
            </w:r>
            <w:proofErr w:type="spellEnd"/>
            <w:r>
              <w:rPr>
                <w:rFonts w:asciiTheme="minorHAnsi" w:hAnsiTheme="minorHAnsi" w:cs="Arial"/>
                <w:szCs w:val="20"/>
              </w:rPr>
              <w:t xml:space="preserve"> actions, and how this will be communicated to investors</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 xml:space="preserve">(e) </w:t>
            </w:r>
            <w:proofErr w:type="gramStart"/>
            <w:r>
              <w:rPr>
                <w:rFonts w:asciiTheme="minorHAnsi" w:hAnsiTheme="minorHAnsi" w:cs="Arial"/>
                <w:szCs w:val="20"/>
              </w:rPr>
              <w:t>index</w:t>
            </w:r>
            <w:proofErr w:type="gramEnd"/>
            <w:r>
              <w:rPr>
                <w:rFonts w:asciiTheme="minorHAnsi" w:hAnsiTheme="minorHAnsi" w:cs="Arial"/>
                <w:szCs w:val="20"/>
              </w:rPr>
              <w:t xml:space="preserve"> methodology must be clear and give details of the calculation method, constitution, index rules, index review, changes to the index and consequences of any changes in index methodology. Must be in plain English and understandable</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(f) Sole discretion by index calculator should be limited to avoid any unnecessary movement in the market. Advance communication by the index calculator with the market is imperative</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(g) the mathematics applied in the index must match the written description of the index</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512EF5">
            <w:pPr>
              <w:jc w:val="left"/>
              <w:rPr>
                <w:rFonts w:asciiTheme="minorHAnsi" w:hAnsiTheme="minorHAnsi" w:cs="Arial"/>
                <w:szCs w:val="20"/>
              </w:rPr>
            </w:pPr>
            <w:r>
              <w:rPr>
                <w:rFonts w:asciiTheme="minorHAnsi" w:hAnsiTheme="minorHAnsi" w:cs="Arial"/>
                <w:szCs w:val="20"/>
              </w:rPr>
              <w:t>(h) the index must be replicable as far as practically possibly i.e. investors must receive the same returns in the open market</w:t>
            </w:r>
          </w:p>
        </w:tc>
        <w:tc>
          <w:tcPr>
            <w:tcW w:w="3760" w:type="dxa"/>
            <w:shd w:val="clear" w:color="auto" w:fill="FFFFFF" w:themeFill="background1"/>
          </w:tcPr>
          <w:p w:rsidR="00386983" w:rsidRPr="0009120C" w:rsidRDefault="00386983" w:rsidP="006727A7">
            <w:pPr>
              <w:jc w:val="left"/>
              <w:rPr>
                <w:rFonts w:ascii="Arial" w:hAnsi="Arial" w:cs="Arial"/>
                <w:szCs w:val="20"/>
              </w:rPr>
            </w:pPr>
          </w:p>
        </w:tc>
        <w:tc>
          <w:tcPr>
            <w:tcW w:w="3621" w:type="dxa"/>
            <w:shd w:val="clear" w:color="auto" w:fill="FFFFFF" w:themeFill="background1"/>
          </w:tcPr>
          <w:p w:rsidR="00386983" w:rsidRPr="0009120C" w:rsidRDefault="00386983" w:rsidP="006727A7">
            <w:pPr>
              <w:jc w:val="left"/>
              <w:rPr>
                <w:rFonts w:ascii="Arial" w:hAnsi="Arial" w:cs="Arial"/>
                <w:szCs w:val="20"/>
              </w:rPr>
            </w:pPr>
          </w:p>
        </w:tc>
      </w:tr>
      <w:tr w:rsidR="00386983" w:rsidRPr="0009120C" w:rsidTr="00386983">
        <w:tc>
          <w:tcPr>
            <w:tcW w:w="7008" w:type="dxa"/>
            <w:shd w:val="clear" w:color="auto" w:fill="FFFFFF" w:themeFill="background1"/>
          </w:tcPr>
          <w:p w:rsidR="00386983" w:rsidRPr="00512EF5" w:rsidRDefault="00386983" w:rsidP="00512EF5">
            <w:pPr>
              <w:jc w:val="left"/>
              <w:rPr>
                <w:rFonts w:asciiTheme="minorHAnsi" w:hAnsiTheme="minorHAnsi" w:cs="Arial"/>
                <w:szCs w:val="20"/>
              </w:rPr>
            </w:pPr>
            <w:r w:rsidRPr="00512EF5">
              <w:rPr>
                <w:rFonts w:asciiTheme="minorHAnsi" w:hAnsiTheme="minorHAnsi" w:cs="Arial"/>
                <w:szCs w:val="20"/>
              </w:rPr>
              <w:t>(</w:t>
            </w:r>
            <w:proofErr w:type="spellStart"/>
            <w:r w:rsidRPr="00512EF5">
              <w:rPr>
                <w:rFonts w:asciiTheme="minorHAnsi" w:hAnsiTheme="minorHAnsi" w:cs="Arial"/>
                <w:szCs w:val="20"/>
              </w:rPr>
              <w:t>i</w:t>
            </w:r>
            <w:proofErr w:type="spellEnd"/>
            <w:r>
              <w:rPr>
                <w:rFonts w:asciiTheme="minorHAnsi" w:hAnsiTheme="minorHAnsi" w:cs="Arial"/>
                <w:szCs w:val="20"/>
              </w:rPr>
              <w:t xml:space="preserve">) </w:t>
            </w:r>
            <w:r w:rsidRPr="00512EF5">
              <w:rPr>
                <w:rFonts w:asciiTheme="minorHAnsi" w:hAnsiTheme="minorHAnsi" w:cs="Arial"/>
                <w:szCs w:val="20"/>
              </w:rPr>
              <w:t xml:space="preserve">Any changes to index published on </w:t>
            </w:r>
            <w:r>
              <w:rPr>
                <w:rFonts w:asciiTheme="minorHAnsi" w:hAnsiTheme="minorHAnsi" w:cs="Arial"/>
                <w:szCs w:val="20"/>
              </w:rPr>
              <w:t>website as well as correction of erroneous index data</w:t>
            </w:r>
          </w:p>
        </w:tc>
        <w:tc>
          <w:tcPr>
            <w:tcW w:w="3760" w:type="dxa"/>
            <w:shd w:val="clear" w:color="auto" w:fill="FFFFFF" w:themeFill="background1"/>
          </w:tcPr>
          <w:p w:rsidR="00386983" w:rsidRPr="0009120C" w:rsidRDefault="00386983" w:rsidP="006727A7">
            <w:pPr>
              <w:jc w:val="left"/>
              <w:rPr>
                <w:rFonts w:ascii="Arial" w:hAnsi="Arial" w:cs="Arial"/>
                <w:szCs w:val="20"/>
              </w:rPr>
            </w:pPr>
          </w:p>
        </w:tc>
        <w:tc>
          <w:tcPr>
            <w:tcW w:w="3621" w:type="dxa"/>
            <w:shd w:val="clear" w:color="auto" w:fill="FFFFFF" w:themeFill="background1"/>
          </w:tcPr>
          <w:p w:rsidR="00386983" w:rsidRPr="0009120C" w:rsidRDefault="00386983" w:rsidP="006727A7">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 xml:space="preserve">(j) </w:t>
            </w:r>
            <w:proofErr w:type="gramStart"/>
            <w:r>
              <w:rPr>
                <w:rFonts w:asciiTheme="minorHAnsi" w:hAnsiTheme="minorHAnsi" w:cs="Arial"/>
                <w:szCs w:val="20"/>
              </w:rPr>
              <w:t>clear</w:t>
            </w:r>
            <w:proofErr w:type="gramEnd"/>
            <w:r>
              <w:rPr>
                <w:rFonts w:asciiTheme="minorHAnsi" w:hAnsiTheme="minorHAnsi" w:cs="Arial"/>
                <w:szCs w:val="20"/>
              </w:rPr>
              <w:t xml:space="preserve"> policy for corrections i.e. how published and how corrected?</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lastRenderedPageBreak/>
              <w:t>(k) all instruments in the index must have a reliable and discoverable price that is published</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(l) material changes to the index methodology must be communicated to the JSE, and communication to the market must be made before implementation</w:t>
            </w:r>
          </w:p>
        </w:tc>
        <w:tc>
          <w:tcPr>
            <w:tcW w:w="3760" w:type="dxa"/>
            <w:shd w:val="clear" w:color="auto" w:fill="FFFFFF" w:themeFill="background1"/>
          </w:tcPr>
          <w:p w:rsidR="00386983" w:rsidRPr="00512EF5" w:rsidRDefault="00386983" w:rsidP="00512EF5">
            <w:pPr>
              <w:autoSpaceDE w:val="0"/>
              <w:autoSpaceDN w:val="0"/>
              <w:adjustRightInd w:val="0"/>
              <w:jc w:val="left"/>
              <w:rPr>
                <w:rFonts w:asciiTheme="minorHAnsi" w:hAnsiTheme="minorHAnsi" w:cs="Arial"/>
                <w:szCs w:val="20"/>
              </w:rPr>
            </w:pPr>
          </w:p>
        </w:tc>
        <w:tc>
          <w:tcPr>
            <w:tcW w:w="3621" w:type="dxa"/>
            <w:shd w:val="clear" w:color="auto" w:fill="FFFFFF" w:themeFill="background1"/>
          </w:tcPr>
          <w:p w:rsidR="00386983" w:rsidRPr="00512EF5" w:rsidRDefault="00386983" w:rsidP="00512EF5">
            <w:pPr>
              <w:autoSpaceDE w:val="0"/>
              <w:autoSpaceDN w:val="0"/>
              <w:adjustRightInd w:val="0"/>
              <w:jc w:val="left"/>
              <w:rPr>
                <w:rFonts w:asciiTheme="minorHAnsi" w:hAnsiTheme="minorHAnsi"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 xml:space="preserve">(m) </w:t>
            </w:r>
            <w:r w:rsidRPr="00512EF5">
              <w:rPr>
                <w:rFonts w:asciiTheme="minorHAnsi" w:hAnsiTheme="minorHAnsi" w:cs="Arial"/>
                <w:szCs w:val="20"/>
              </w:rPr>
              <w:t>a brief explanation, sufficient for an investor to understand how an index was developed, including, at a minimum, the size and liquidity of the market being assessed namely the number and volume of transactions submitted, the range and average volume and range and average of price, and indicative percentages of each type of market data that have been considered in a benchmark determination. Terms referring to the pricing methodology must be included “transaction-based”, “spread-based” or “interpolated/extrapolated”</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r w:rsidR="00386983" w:rsidRPr="0009120C" w:rsidTr="00386983">
        <w:tc>
          <w:tcPr>
            <w:tcW w:w="7008" w:type="dxa"/>
            <w:shd w:val="clear" w:color="auto" w:fill="FFFFFF" w:themeFill="background1"/>
          </w:tcPr>
          <w:p w:rsidR="00386983" w:rsidRPr="0009120C" w:rsidRDefault="00386983" w:rsidP="0009120C">
            <w:pPr>
              <w:jc w:val="left"/>
              <w:rPr>
                <w:rFonts w:asciiTheme="minorHAnsi" w:hAnsiTheme="minorHAnsi" w:cs="Arial"/>
                <w:szCs w:val="20"/>
              </w:rPr>
            </w:pPr>
            <w:r>
              <w:rPr>
                <w:rFonts w:asciiTheme="minorHAnsi" w:hAnsiTheme="minorHAnsi" w:cs="Arial"/>
                <w:szCs w:val="20"/>
              </w:rPr>
              <w:t xml:space="preserve">(n) </w:t>
            </w:r>
            <w:proofErr w:type="gramStart"/>
            <w:r w:rsidRPr="00722A24">
              <w:rPr>
                <w:rFonts w:asciiTheme="minorHAnsi" w:hAnsiTheme="minorHAnsi" w:cs="Arial"/>
                <w:szCs w:val="20"/>
              </w:rPr>
              <w:t>a</w:t>
            </w:r>
            <w:proofErr w:type="gramEnd"/>
            <w:r w:rsidRPr="00722A24">
              <w:rPr>
                <w:rFonts w:asciiTheme="minorHAnsi" w:hAnsiTheme="minorHAnsi" w:cs="Arial"/>
                <w:szCs w:val="20"/>
              </w:rPr>
              <w:t xml:space="preserve"> brief explanation of the extent to which and the basis upon which expert judgment if any, was used in establishing an index.</w:t>
            </w:r>
          </w:p>
        </w:tc>
        <w:tc>
          <w:tcPr>
            <w:tcW w:w="3760" w:type="dxa"/>
            <w:shd w:val="clear" w:color="auto" w:fill="FFFFFF" w:themeFill="background1"/>
          </w:tcPr>
          <w:p w:rsidR="00386983" w:rsidRPr="0009120C" w:rsidRDefault="00386983" w:rsidP="0009120C">
            <w:pPr>
              <w:jc w:val="left"/>
              <w:rPr>
                <w:rFonts w:ascii="Arial" w:hAnsi="Arial" w:cs="Arial"/>
                <w:szCs w:val="20"/>
              </w:rPr>
            </w:pPr>
          </w:p>
        </w:tc>
        <w:tc>
          <w:tcPr>
            <w:tcW w:w="3621" w:type="dxa"/>
            <w:shd w:val="clear" w:color="auto" w:fill="FFFFFF" w:themeFill="background1"/>
          </w:tcPr>
          <w:p w:rsidR="00386983" w:rsidRPr="0009120C" w:rsidRDefault="00386983" w:rsidP="0009120C">
            <w:pPr>
              <w:jc w:val="left"/>
              <w:rPr>
                <w:rFonts w:ascii="Arial" w:hAnsi="Arial" w:cs="Arial"/>
                <w:szCs w:val="20"/>
              </w:rPr>
            </w:pPr>
          </w:p>
        </w:tc>
      </w:tr>
    </w:tbl>
    <w:p w:rsidR="00BE7473" w:rsidRDefault="00BE7473" w:rsidP="00035935"/>
    <w:sectPr w:rsidR="00BE7473" w:rsidSect="00F951F5">
      <w:pgSz w:w="15840" w:h="12240" w:orient="landscape" w:code="1"/>
      <w:pgMar w:top="1134" w:right="1418" w:bottom="1134" w:left="1134" w:header="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29" w:rsidRDefault="00E34C29" w:rsidP="00081F38">
      <w:r>
        <w:separator/>
      </w:r>
    </w:p>
  </w:endnote>
  <w:endnote w:type="continuationSeparator" w:id="0">
    <w:p w:rsidR="00E34C29" w:rsidRDefault="00E34C29" w:rsidP="0008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29" w:rsidRDefault="00E34C29" w:rsidP="00081F38">
      <w:r>
        <w:separator/>
      </w:r>
    </w:p>
  </w:footnote>
  <w:footnote w:type="continuationSeparator" w:id="0">
    <w:p w:rsidR="00E34C29" w:rsidRDefault="00E34C29" w:rsidP="00081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1">
    <w:nsid w:val="0807284F"/>
    <w:multiLevelType w:val="hybridMultilevel"/>
    <w:tmpl w:val="1AA6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3">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4">
    <w:nsid w:val="232911CC"/>
    <w:multiLevelType w:val="hybridMultilevel"/>
    <w:tmpl w:val="CDFA811E"/>
    <w:lvl w:ilvl="0" w:tplc="505EAC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C150E"/>
    <w:multiLevelType w:val="hybridMultilevel"/>
    <w:tmpl w:val="E1DE9918"/>
    <w:lvl w:ilvl="0" w:tplc="A54846B0">
      <w:start w:val="1"/>
      <w:numFmt w:val="decimal"/>
      <w:lvlText w:val="%1."/>
      <w:lvlJc w:val="left"/>
      <w:pPr>
        <w:ind w:left="-207" w:hanging="360"/>
      </w:pPr>
      <w:rPr>
        <w:rFonts w:hint="default"/>
        <w:b w:val="0"/>
      </w:r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26CC1586"/>
    <w:multiLevelType w:val="hybridMultilevel"/>
    <w:tmpl w:val="1AA6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8">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9">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1">
    <w:nsid w:val="32786294"/>
    <w:multiLevelType w:val="hybridMultilevel"/>
    <w:tmpl w:val="14D8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3">
    <w:nsid w:val="4B8D24A9"/>
    <w:multiLevelType w:val="hybridMultilevel"/>
    <w:tmpl w:val="75748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B270F"/>
    <w:multiLevelType w:val="hybridMultilevel"/>
    <w:tmpl w:val="F6FCB48A"/>
    <w:lvl w:ilvl="0" w:tplc="2C0E69BE">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076CBF"/>
    <w:multiLevelType w:val="hybridMultilevel"/>
    <w:tmpl w:val="AABEA516"/>
    <w:lvl w:ilvl="0" w:tplc="F7AAF0AC">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2E688C"/>
    <w:multiLevelType w:val="hybridMultilevel"/>
    <w:tmpl w:val="4B4C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6"/>
  </w:num>
  <w:num w:numId="4">
    <w:abstractNumId w:val="3"/>
  </w:num>
  <w:num w:numId="5">
    <w:abstractNumId w:val="0"/>
  </w:num>
  <w:num w:numId="6">
    <w:abstractNumId w:val="12"/>
  </w:num>
  <w:num w:numId="7">
    <w:abstractNumId w:val="9"/>
  </w:num>
  <w:num w:numId="8">
    <w:abstractNumId w:val="8"/>
  </w:num>
  <w:num w:numId="9">
    <w:abstractNumId w:val="10"/>
  </w:num>
  <w:num w:numId="10">
    <w:abstractNumId w:val="7"/>
  </w:num>
  <w:num w:numId="11">
    <w:abstractNumId w:val="17"/>
  </w:num>
  <w:num w:numId="12">
    <w:abstractNumId w:val="4"/>
  </w:num>
  <w:num w:numId="13">
    <w:abstractNumId w:val="14"/>
  </w:num>
  <w:num w:numId="14">
    <w:abstractNumId w:val="13"/>
  </w:num>
  <w:num w:numId="15">
    <w:abstractNumId w:val="5"/>
  </w:num>
  <w:num w:numId="16">
    <w:abstractNumId w:val="1"/>
  </w:num>
  <w:num w:numId="17">
    <w:abstractNumId w:val="18"/>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 w:name="DocStatus" w:val="true"/>
  </w:docVars>
  <w:rsids>
    <w:rsidRoot w:val="0009120C"/>
    <w:rsid w:val="00007C89"/>
    <w:rsid w:val="00010125"/>
    <w:rsid w:val="00016B0E"/>
    <w:rsid w:val="00025128"/>
    <w:rsid w:val="00035935"/>
    <w:rsid w:val="00043FD0"/>
    <w:rsid w:val="0005281E"/>
    <w:rsid w:val="00057B9A"/>
    <w:rsid w:val="00072838"/>
    <w:rsid w:val="00081F38"/>
    <w:rsid w:val="00082325"/>
    <w:rsid w:val="0009120C"/>
    <w:rsid w:val="000B2463"/>
    <w:rsid w:val="000B281A"/>
    <w:rsid w:val="000D046C"/>
    <w:rsid w:val="000F1EAB"/>
    <w:rsid w:val="000F20E7"/>
    <w:rsid w:val="00127931"/>
    <w:rsid w:val="0014490F"/>
    <w:rsid w:val="001971A3"/>
    <w:rsid w:val="001E2BD6"/>
    <w:rsid w:val="00201A8A"/>
    <w:rsid w:val="0021021A"/>
    <w:rsid w:val="00220021"/>
    <w:rsid w:val="002452D6"/>
    <w:rsid w:val="00253732"/>
    <w:rsid w:val="00254794"/>
    <w:rsid w:val="00261BC2"/>
    <w:rsid w:val="002956B9"/>
    <w:rsid w:val="002961E0"/>
    <w:rsid w:val="003170E3"/>
    <w:rsid w:val="003427A5"/>
    <w:rsid w:val="00347A80"/>
    <w:rsid w:val="0036328D"/>
    <w:rsid w:val="00386983"/>
    <w:rsid w:val="0039104F"/>
    <w:rsid w:val="003947AE"/>
    <w:rsid w:val="003E766A"/>
    <w:rsid w:val="003F62C9"/>
    <w:rsid w:val="00403D32"/>
    <w:rsid w:val="004106F4"/>
    <w:rsid w:val="004109D1"/>
    <w:rsid w:val="0043155E"/>
    <w:rsid w:val="004469E1"/>
    <w:rsid w:val="004E7230"/>
    <w:rsid w:val="004F5ABC"/>
    <w:rsid w:val="00512EF5"/>
    <w:rsid w:val="00541DE1"/>
    <w:rsid w:val="00545475"/>
    <w:rsid w:val="00545B20"/>
    <w:rsid w:val="00573230"/>
    <w:rsid w:val="00583C51"/>
    <w:rsid w:val="005849F2"/>
    <w:rsid w:val="005A256A"/>
    <w:rsid w:val="005C164A"/>
    <w:rsid w:val="005E5A92"/>
    <w:rsid w:val="005E75F7"/>
    <w:rsid w:val="006122DB"/>
    <w:rsid w:val="00612801"/>
    <w:rsid w:val="00653B31"/>
    <w:rsid w:val="006727A7"/>
    <w:rsid w:val="0067606D"/>
    <w:rsid w:val="00685853"/>
    <w:rsid w:val="006A4DB6"/>
    <w:rsid w:val="006B3D05"/>
    <w:rsid w:val="006E405A"/>
    <w:rsid w:val="006F024B"/>
    <w:rsid w:val="006F2727"/>
    <w:rsid w:val="006F65F4"/>
    <w:rsid w:val="0070529D"/>
    <w:rsid w:val="00722A24"/>
    <w:rsid w:val="00724044"/>
    <w:rsid w:val="00725603"/>
    <w:rsid w:val="00731534"/>
    <w:rsid w:val="007567ED"/>
    <w:rsid w:val="00767E8B"/>
    <w:rsid w:val="0077112A"/>
    <w:rsid w:val="00775E6E"/>
    <w:rsid w:val="007772DC"/>
    <w:rsid w:val="0078493D"/>
    <w:rsid w:val="007D2F8D"/>
    <w:rsid w:val="007D6E4B"/>
    <w:rsid w:val="007D738F"/>
    <w:rsid w:val="007E1A9E"/>
    <w:rsid w:val="007E4FB1"/>
    <w:rsid w:val="007E5D14"/>
    <w:rsid w:val="00823387"/>
    <w:rsid w:val="00850D81"/>
    <w:rsid w:val="008515B3"/>
    <w:rsid w:val="00854DEA"/>
    <w:rsid w:val="00854F8A"/>
    <w:rsid w:val="00883BE1"/>
    <w:rsid w:val="008A1AC8"/>
    <w:rsid w:val="008B488F"/>
    <w:rsid w:val="008F67A0"/>
    <w:rsid w:val="00900D74"/>
    <w:rsid w:val="00906951"/>
    <w:rsid w:val="009207EE"/>
    <w:rsid w:val="00940022"/>
    <w:rsid w:val="00944483"/>
    <w:rsid w:val="00986978"/>
    <w:rsid w:val="009A6830"/>
    <w:rsid w:val="00A05594"/>
    <w:rsid w:val="00A316A5"/>
    <w:rsid w:val="00A3459B"/>
    <w:rsid w:val="00A8123D"/>
    <w:rsid w:val="00A87E5E"/>
    <w:rsid w:val="00AA71DE"/>
    <w:rsid w:val="00AB14A2"/>
    <w:rsid w:val="00AB3092"/>
    <w:rsid w:val="00AF6134"/>
    <w:rsid w:val="00B024A2"/>
    <w:rsid w:val="00B85C96"/>
    <w:rsid w:val="00BE7473"/>
    <w:rsid w:val="00C00AD4"/>
    <w:rsid w:val="00C31B2D"/>
    <w:rsid w:val="00C771E4"/>
    <w:rsid w:val="00C8566A"/>
    <w:rsid w:val="00CA7FAA"/>
    <w:rsid w:val="00CB016C"/>
    <w:rsid w:val="00CB1B70"/>
    <w:rsid w:val="00CC2777"/>
    <w:rsid w:val="00CC55E9"/>
    <w:rsid w:val="00CC7F06"/>
    <w:rsid w:val="00D00F61"/>
    <w:rsid w:val="00D12323"/>
    <w:rsid w:val="00D255F8"/>
    <w:rsid w:val="00D35BD7"/>
    <w:rsid w:val="00D37843"/>
    <w:rsid w:val="00D54B08"/>
    <w:rsid w:val="00D642EE"/>
    <w:rsid w:val="00DA60CC"/>
    <w:rsid w:val="00DF2676"/>
    <w:rsid w:val="00E21E7F"/>
    <w:rsid w:val="00E34C29"/>
    <w:rsid w:val="00E9062A"/>
    <w:rsid w:val="00E90701"/>
    <w:rsid w:val="00E92E56"/>
    <w:rsid w:val="00E94CC4"/>
    <w:rsid w:val="00EA2910"/>
    <w:rsid w:val="00F353C2"/>
    <w:rsid w:val="00F520B3"/>
    <w:rsid w:val="00F529C3"/>
    <w:rsid w:val="00F81E0C"/>
    <w:rsid w:val="00F90570"/>
    <w:rsid w:val="00F951F5"/>
    <w:rsid w:val="00F95964"/>
    <w:rsid w:val="00FB5949"/>
    <w:rsid w:val="00FD4995"/>
    <w:rsid w:val="00FF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0"/>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3FD0"/>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043FD0"/>
    <w:pPr>
      <w:spacing w:after="120"/>
      <w:outlineLvl w:val="0"/>
    </w:pPr>
    <w:rPr>
      <w:caps/>
      <w:kern w:val="32"/>
    </w:rPr>
  </w:style>
  <w:style w:type="paragraph" w:styleId="Heading2">
    <w:name w:val="heading 2"/>
    <w:basedOn w:val="Normal"/>
    <w:next w:val="Normal"/>
    <w:link w:val="Heading2Char"/>
    <w:qFormat/>
    <w:rsid w:val="00043FD0"/>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043FD0"/>
    <w:pPr>
      <w:keepNext/>
      <w:spacing w:before="240" w:after="60"/>
      <w:outlineLvl w:val="2"/>
    </w:pPr>
    <w:rPr>
      <w:rFonts w:cs="Arial"/>
      <w:b/>
      <w:bCs/>
      <w:i/>
      <w:szCs w:val="26"/>
    </w:rPr>
  </w:style>
  <w:style w:type="character" w:default="1" w:styleId="DefaultParagraphFont">
    <w:name w:val="Default Paragraph Font"/>
    <w:semiHidden/>
    <w:rsid w:val="00043F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043FD0"/>
  </w:style>
  <w:style w:type="paragraph" w:customStyle="1" w:styleId="AutoEnding">
    <w:name w:val="AutoEnding"/>
    <w:basedOn w:val="Normal"/>
    <w:next w:val="Normal"/>
    <w:link w:val="AutoEndingChar"/>
    <w:rsid w:val="00775E6E"/>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basedOn w:val="DefaultParagraphFont"/>
    <w:link w:val="Heading1"/>
    <w:rsid w:val="00035935"/>
    <w:rPr>
      <w:rFonts w:ascii="Calibri" w:eastAsia="Times New Roman" w:hAnsi="Calibri" w:cs="Times New Roman"/>
      <w:caps/>
      <w:kern w:val="32"/>
      <w:sz w:val="20"/>
      <w:lang w:val="en-GB"/>
    </w:rPr>
  </w:style>
  <w:style w:type="paragraph" w:styleId="TOC1">
    <w:name w:val="toc 1"/>
    <w:basedOn w:val="Normal"/>
    <w:next w:val="Normal"/>
    <w:autoRedefine/>
    <w:rsid w:val="00043FD0"/>
    <w:pPr>
      <w:spacing w:line="480" w:lineRule="auto"/>
    </w:pPr>
    <w:rPr>
      <w:caps/>
    </w:rPr>
  </w:style>
  <w:style w:type="character" w:customStyle="1" w:styleId="Heading2Char">
    <w:name w:val="Heading 2 Char"/>
    <w:basedOn w:val="DefaultParagraphFont"/>
    <w:link w:val="Heading2"/>
    <w:rsid w:val="0009120C"/>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09120C"/>
    <w:rPr>
      <w:rFonts w:ascii="Calibri" w:eastAsia="Times New Roman" w:hAnsi="Calibri" w:cs="Arial"/>
      <w:b/>
      <w:bCs/>
      <w:i/>
      <w:sz w:val="20"/>
      <w:szCs w:val="26"/>
      <w:lang w:val="en-GB"/>
    </w:rPr>
  </w:style>
  <w:style w:type="paragraph" w:styleId="BodyText">
    <w:name w:val="Body Text"/>
    <w:basedOn w:val="Normal"/>
    <w:link w:val="BodyTextChar"/>
    <w:rsid w:val="00043FD0"/>
    <w:pPr>
      <w:spacing w:after="120"/>
    </w:pPr>
    <w:rPr>
      <w:rFonts w:cs="Calibri"/>
    </w:rPr>
  </w:style>
  <w:style w:type="character" w:customStyle="1" w:styleId="BodyTextChar">
    <w:name w:val="Body Text Char"/>
    <w:link w:val="BodyText"/>
    <w:rsid w:val="00043FD0"/>
    <w:rPr>
      <w:rFonts w:ascii="Calibri" w:eastAsia="Times New Roman" w:hAnsi="Calibri" w:cs="Calibri"/>
      <w:sz w:val="20"/>
      <w:lang w:val="en-GB"/>
    </w:rPr>
  </w:style>
  <w:style w:type="paragraph" w:styleId="BlockText">
    <w:name w:val="Block Text"/>
    <w:basedOn w:val="Normal"/>
    <w:rsid w:val="00043FD0"/>
    <w:pPr>
      <w:spacing w:after="120"/>
      <w:ind w:left="1440" w:right="1440"/>
    </w:pPr>
  </w:style>
  <w:style w:type="paragraph" w:styleId="Header">
    <w:name w:val="header"/>
    <w:basedOn w:val="Normal"/>
    <w:link w:val="HeaderChar"/>
    <w:rsid w:val="00043FD0"/>
    <w:pPr>
      <w:tabs>
        <w:tab w:val="center" w:pos="4153"/>
        <w:tab w:val="right" w:pos="8306"/>
      </w:tabs>
    </w:pPr>
    <w:rPr>
      <w:rFonts w:cs="Calibri"/>
      <w:sz w:val="16"/>
    </w:rPr>
  </w:style>
  <w:style w:type="character" w:customStyle="1" w:styleId="HeaderChar">
    <w:name w:val="Header Char"/>
    <w:basedOn w:val="DefaultParagraphFont"/>
    <w:link w:val="Header"/>
    <w:rsid w:val="0009120C"/>
    <w:rPr>
      <w:rFonts w:ascii="Calibri" w:eastAsia="Times New Roman" w:hAnsi="Calibri" w:cs="Calibri"/>
      <w:sz w:val="16"/>
      <w:lang w:val="en-GB"/>
    </w:rPr>
  </w:style>
  <w:style w:type="paragraph" w:styleId="Footer">
    <w:name w:val="footer"/>
    <w:basedOn w:val="Normal"/>
    <w:link w:val="FooterChar"/>
    <w:rsid w:val="00043FD0"/>
    <w:pPr>
      <w:tabs>
        <w:tab w:val="center" w:pos="4153"/>
        <w:tab w:val="right" w:pos="8306"/>
      </w:tabs>
    </w:pPr>
    <w:rPr>
      <w:rFonts w:cs="Calibri"/>
      <w:sz w:val="14"/>
    </w:rPr>
  </w:style>
  <w:style w:type="character" w:customStyle="1" w:styleId="FooterChar">
    <w:name w:val="Footer Char"/>
    <w:basedOn w:val="DefaultParagraphFont"/>
    <w:link w:val="Footer"/>
    <w:rsid w:val="0009120C"/>
    <w:rPr>
      <w:rFonts w:ascii="Calibri" w:eastAsia="Times New Roman" w:hAnsi="Calibri" w:cs="Calibri"/>
      <w:sz w:val="14"/>
      <w:lang w:val="en-GB"/>
    </w:rPr>
  </w:style>
  <w:style w:type="character" w:styleId="Hyperlink">
    <w:name w:val="Hyperlink"/>
    <w:rsid w:val="00043FD0"/>
    <w:rPr>
      <w:color w:val="0000FF"/>
      <w:u w:val="single"/>
    </w:rPr>
  </w:style>
  <w:style w:type="table" w:styleId="TableGrid">
    <w:name w:val="Table Grid"/>
    <w:basedOn w:val="TableNormal"/>
    <w:uiPriority w:val="59"/>
    <w:rsid w:val="0009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64A"/>
    <w:pPr>
      <w:ind w:left="720"/>
      <w:contextualSpacing/>
    </w:pPr>
  </w:style>
  <w:style w:type="paragraph" w:customStyle="1" w:styleId="Default">
    <w:name w:val="Default"/>
    <w:rsid w:val="0021021A"/>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FD4995"/>
    <w:rPr>
      <w:sz w:val="16"/>
      <w:szCs w:val="16"/>
    </w:rPr>
  </w:style>
  <w:style w:type="paragraph" w:styleId="CommentText">
    <w:name w:val="annotation text"/>
    <w:basedOn w:val="Normal"/>
    <w:link w:val="CommentTextChar"/>
    <w:uiPriority w:val="99"/>
    <w:unhideWhenUsed/>
    <w:rsid w:val="00FD4995"/>
    <w:rPr>
      <w:szCs w:val="20"/>
    </w:rPr>
  </w:style>
  <w:style w:type="character" w:customStyle="1" w:styleId="CommentTextChar">
    <w:name w:val="Comment Text Char"/>
    <w:basedOn w:val="DefaultParagraphFont"/>
    <w:link w:val="CommentText"/>
    <w:uiPriority w:val="99"/>
    <w:rsid w:val="00FD4995"/>
    <w:rPr>
      <w:rFonts w:ascii="Calibri" w:eastAsia="Times New Roman" w:hAnsi="Calibri"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FD4995"/>
    <w:rPr>
      <w:b/>
      <w:bCs/>
    </w:rPr>
  </w:style>
  <w:style w:type="character" w:customStyle="1" w:styleId="CommentSubjectChar">
    <w:name w:val="Comment Subject Char"/>
    <w:basedOn w:val="CommentTextChar"/>
    <w:link w:val="CommentSubject"/>
    <w:uiPriority w:val="99"/>
    <w:semiHidden/>
    <w:rsid w:val="00FD4995"/>
    <w:rPr>
      <w:rFonts w:ascii="Calibri" w:eastAsia="Times New Roman" w:hAnsi="Calibri" w:cs="Times New Roman"/>
      <w:b/>
      <w:bCs/>
      <w:sz w:val="20"/>
      <w:szCs w:val="20"/>
      <w:lang w:val="en-ZA"/>
    </w:rPr>
  </w:style>
  <w:style w:type="paragraph" w:styleId="BalloonText">
    <w:name w:val="Balloon Text"/>
    <w:basedOn w:val="Normal"/>
    <w:link w:val="BalloonTextChar"/>
    <w:uiPriority w:val="99"/>
    <w:semiHidden/>
    <w:unhideWhenUsed/>
    <w:rsid w:val="00FD4995"/>
    <w:rPr>
      <w:rFonts w:ascii="Tahoma" w:hAnsi="Tahoma" w:cs="Tahoma"/>
      <w:sz w:val="16"/>
      <w:szCs w:val="16"/>
    </w:rPr>
  </w:style>
  <w:style w:type="character" w:customStyle="1" w:styleId="BalloonTextChar">
    <w:name w:val="Balloon Text Char"/>
    <w:basedOn w:val="DefaultParagraphFont"/>
    <w:link w:val="BalloonText"/>
    <w:uiPriority w:val="99"/>
    <w:semiHidden/>
    <w:rsid w:val="00FD4995"/>
    <w:rPr>
      <w:rFonts w:ascii="Tahoma" w:eastAsia="Times New Roman"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0"/>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3FD0"/>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043FD0"/>
    <w:pPr>
      <w:spacing w:after="120"/>
      <w:outlineLvl w:val="0"/>
    </w:pPr>
    <w:rPr>
      <w:caps/>
      <w:kern w:val="32"/>
    </w:rPr>
  </w:style>
  <w:style w:type="paragraph" w:styleId="Heading2">
    <w:name w:val="heading 2"/>
    <w:basedOn w:val="Normal"/>
    <w:next w:val="Normal"/>
    <w:link w:val="Heading2Char"/>
    <w:qFormat/>
    <w:rsid w:val="00043FD0"/>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043FD0"/>
    <w:pPr>
      <w:keepNext/>
      <w:spacing w:before="240" w:after="60"/>
      <w:outlineLvl w:val="2"/>
    </w:pPr>
    <w:rPr>
      <w:rFonts w:cs="Arial"/>
      <w:b/>
      <w:bCs/>
      <w:i/>
      <w:szCs w:val="26"/>
    </w:rPr>
  </w:style>
  <w:style w:type="character" w:default="1" w:styleId="DefaultParagraphFont">
    <w:name w:val="Default Paragraph Font"/>
    <w:semiHidden/>
    <w:rsid w:val="00043F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043FD0"/>
  </w:style>
  <w:style w:type="paragraph" w:customStyle="1" w:styleId="AutoEnding">
    <w:name w:val="AutoEnding"/>
    <w:basedOn w:val="Normal"/>
    <w:next w:val="Normal"/>
    <w:link w:val="AutoEndingChar"/>
    <w:rsid w:val="00775E6E"/>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basedOn w:val="DefaultParagraphFont"/>
    <w:link w:val="Heading1"/>
    <w:rsid w:val="00035935"/>
    <w:rPr>
      <w:rFonts w:ascii="Calibri" w:eastAsia="Times New Roman" w:hAnsi="Calibri" w:cs="Times New Roman"/>
      <w:caps/>
      <w:kern w:val="32"/>
      <w:sz w:val="20"/>
      <w:lang w:val="en-GB"/>
    </w:rPr>
  </w:style>
  <w:style w:type="paragraph" w:styleId="TOC1">
    <w:name w:val="toc 1"/>
    <w:basedOn w:val="Normal"/>
    <w:next w:val="Normal"/>
    <w:autoRedefine/>
    <w:rsid w:val="00043FD0"/>
    <w:pPr>
      <w:spacing w:line="480" w:lineRule="auto"/>
    </w:pPr>
    <w:rPr>
      <w:caps/>
    </w:rPr>
  </w:style>
  <w:style w:type="character" w:customStyle="1" w:styleId="Heading2Char">
    <w:name w:val="Heading 2 Char"/>
    <w:basedOn w:val="DefaultParagraphFont"/>
    <w:link w:val="Heading2"/>
    <w:rsid w:val="0009120C"/>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09120C"/>
    <w:rPr>
      <w:rFonts w:ascii="Calibri" w:eastAsia="Times New Roman" w:hAnsi="Calibri" w:cs="Arial"/>
      <w:b/>
      <w:bCs/>
      <w:i/>
      <w:sz w:val="20"/>
      <w:szCs w:val="26"/>
      <w:lang w:val="en-GB"/>
    </w:rPr>
  </w:style>
  <w:style w:type="paragraph" w:styleId="BodyText">
    <w:name w:val="Body Text"/>
    <w:basedOn w:val="Normal"/>
    <w:link w:val="BodyTextChar"/>
    <w:rsid w:val="00043FD0"/>
    <w:pPr>
      <w:spacing w:after="120"/>
    </w:pPr>
    <w:rPr>
      <w:rFonts w:cs="Calibri"/>
    </w:rPr>
  </w:style>
  <w:style w:type="character" w:customStyle="1" w:styleId="BodyTextChar">
    <w:name w:val="Body Text Char"/>
    <w:link w:val="BodyText"/>
    <w:rsid w:val="00043FD0"/>
    <w:rPr>
      <w:rFonts w:ascii="Calibri" w:eastAsia="Times New Roman" w:hAnsi="Calibri" w:cs="Calibri"/>
      <w:sz w:val="20"/>
      <w:lang w:val="en-GB"/>
    </w:rPr>
  </w:style>
  <w:style w:type="paragraph" w:styleId="BlockText">
    <w:name w:val="Block Text"/>
    <w:basedOn w:val="Normal"/>
    <w:rsid w:val="00043FD0"/>
    <w:pPr>
      <w:spacing w:after="120"/>
      <w:ind w:left="1440" w:right="1440"/>
    </w:pPr>
  </w:style>
  <w:style w:type="paragraph" w:styleId="Header">
    <w:name w:val="header"/>
    <w:basedOn w:val="Normal"/>
    <w:link w:val="HeaderChar"/>
    <w:rsid w:val="00043FD0"/>
    <w:pPr>
      <w:tabs>
        <w:tab w:val="center" w:pos="4153"/>
        <w:tab w:val="right" w:pos="8306"/>
      </w:tabs>
    </w:pPr>
    <w:rPr>
      <w:rFonts w:cs="Calibri"/>
      <w:sz w:val="16"/>
    </w:rPr>
  </w:style>
  <w:style w:type="character" w:customStyle="1" w:styleId="HeaderChar">
    <w:name w:val="Header Char"/>
    <w:basedOn w:val="DefaultParagraphFont"/>
    <w:link w:val="Header"/>
    <w:rsid w:val="0009120C"/>
    <w:rPr>
      <w:rFonts w:ascii="Calibri" w:eastAsia="Times New Roman" w:hAnsi="Calibri" w:cs="Calibri"/>
      <w:sz w:val="16"/>
      <w:lang w:val="en-GB"/>
    </w:rPr>
  </w:style>
  <w:style w:type="paragraph" w:styleId="Footer">
    <w:name w:val="footer"/>
    <w:basedOn w:val="Normal"/>
    <w:link w:val="FooterChar"/>
    <w:rsid w:val="00043FD0"/>
    <w:pPr>
      <w:tabs>
        <w:tab w:val="center" w:pos="4153"/>
        <w:tab w:val="right" w:pos="8306"/>
      </w:tabs>
    </w:pPr>
    <w:rPr>
      <w:rFonts w:cs="Calibri"/>
      <w:sz w:val="14"/>
    </w:rPr>
  </w:style>
  <w:style w:type="character" w:customStyle="1" w:styleId="FooterChar">
    <w:name w:val="Footer Char"/>
    <w:basedOn w:val="DefaultParagraphFont"/>
    <w:link w:val="Footer"/>
    <w:rsid w:val="0009120C"/>
    <w:rPr>
      <w:rFonts w:ascii="Calibri" w:eastAsia="Times New Roman" w:hAnsi="Calibri" w:cs="Calibri"/>
      <w:sz w:val="14"/>
      <w:lang w:val="en-GB"/>
    </w:rPr>
  </w:style>
  <w:style w:type="character" w:styleId="Hyperlink">
    <w:name w:val="Hyperlink"/>
    <w:rsid w:val="00043FD0"/>
    <w:rPr>
      <w:color w:val="0000FF"/>
      <w:u w:val="single"/>
    </w:rPr>
  </w:style>
  <w:style w:type="table" w:styleId="TableGrid">
    <w:name w:val="Table Grid"/>
    <w:basedOn w:val="TableNormal"/>
    <w:uiPriority w:val="59"/>
    <w:rsid w:val="0009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64A"/>
    <w:pPr>
      <w:ind w:left="720"/>
      <w:contextualSpacing/>
    </w:pPr>
  </w:style>
  <w:style w:type="paragraph" w:customStyle="1" w:styleId="Default">
    <w:name w:val="Default"/>
    <w:rsid w:val="0021021A"/>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FD4995"/>
    <w:rPr>
      <w:sz w:val="16"/>
      <w:szCs w:val="16"/>
    </w:rPr>
  </w:style>
  <w:style w:type="paragraph" w:styleId="CommentText">
    <w:name w:val="annotation text"/>
    <w:basedOn w:val="Normal"/>
    <w:link w:val="CommentTextChar"/>
    <w:uiPriority w:val="99"/>
    <w:unhideWhenUsed/>
    <w:rsid w:val="00FD4995"/>
    <w:rPr>
      <w:szCs w:val="20"/>
    </w:rPr>
  </w:style>
  <w:style w:type="character" w:customStyle="1" w:styleId="CommentTextChar">
    <w:name w:val="Comment Text Char"/>
    <w:basedOn w:val="DefaultParagraphFont"/>
    <w:link w:val="CommentText"/>
    <w:uiPriority w:val="99"/>
    <w:rsid w:val="00FD4995"/>
    <w:rPr>
      <w:rFonts w:ascii="Calibri" w:eastAsia="Times New Roman" w:hAnsi="Calibri"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FD4995"/>
    <w:rPr>
      <w:b/>
      <w:bCs/>
    </w:rPr>
  </w:style>
  <w:style w:type="character" w:customStyle="1" w:styleId="CommentSubjectChar">
    <w:name w:val="Comment Subject Char"/>
    <w:basedOn w:val="CommentTextChar"/>
    <w:link w:val="CommentSubject"/>
    <w:uiPriority w:val="99"/>
    <w:semiHidden/>
    <w:rsid w:val="00FD4995"/>
    <w:rPr>
      <w:rFonts w:ascii="Calibri" w:eastAsia="Times New Roman" w:hAnsi="Calibri" w:cs="Times New Roman"/>
      <w:b/>
      <w:bCs/>
      <w:sz w:val="20"/>
      <w:szCs w:val="20"/>
      <w:lang w:val="en-ZA"/>
    </w:rPr>
  </w:style>
  <w:style w:type="paragraph" w:styleId="BalloonText">
    <w:name w:val="Balloon Text"/>
    <w:basedOn w:val="Normal"/>
    <w:link w:val="BalloonTextChar"/>
    <w:uiPriority w:val="99"/>
    <w:semiHidden/>
    <w:unhideWhenUsed/>
    <w:rsid w:val="00FD4995"/>
    <w:rPr>
      <w:rFonts w:ascii="Tahoma" w:hAnsi="Tahoma" w:cs="Tahoma"/>
      <w:sz w:val="16"/>
      <w:szCs w:val="16"/>
    </w:rPr>
  </w:style>
  <w:style w:type="character" w:customStyle="1" w:styleId="BalloonTextChar">
    <w:name w:val="Balloon Text Char"/>
    <w:basedOn w:val="DefaultParagraphFont"/>
    <w:link w:val="BalloonText"/>
    <w:uiPriority w:val="99"/>
    <w:semiHidden/>
    <w:rsid w:val="00FD4995"/>
    <w:rPr>
      <w:rFonts w:ascii="Tahoma" w:eastAsia="Times New Roman"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7408">
      <w:bodyDiv w:val="1"/>
      <w:marLeft w:val="0"/>
      <w:marRight w:val="0"/>
      <w:marTop w:val="0"/>
      <w:marBottom w:val="0"/>
      <w:divBdr>
        <w:top w:val="none" w:sz="0" w:space="0" w:color="auto"/>
        <w:left w:val="none" w:sz="0" w:space="0" w:color="auto"/>
        <w:bottom w:val="none" w:sz="0" w:space="0" w:color="auto"/>
        <w:right w:val="none" w:sz="0" w:space="0" w:color="auto"/>
      </w:divBdr>
    </w:div>
    <w:div w:id="494146352">
      <w:bodyDiv w:val="1"/>
      <w:marLeft w:val="0"/>
      <w:marRight w:val="0"/>
      <w:marTop w:val="0"/>
      <w:marBottom w:val="0"/>
      <w:divBdr>
        <w:top w:val="none" w:sz="0" w:space="0" w:color="auto"/>
        <w:left w:val="none" w:sz="0" w:space="0" w:color="auto"/>
        <w:bottom w:val="none" w:sz="0" w:space="0" w:color="auto"/>
        <w:right w:val="none" w:sz="0" w:space="0" w:color="auto"/>
      </w:divBdr>
    </w:div>
    <w:div w:id="14973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sk\Toolbar_Add-ins\JSE%20Main.dot" TargetMode="Externa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JSE Main</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Kleovoulou</dc:creator>
  <cp:lastModifiedBy>Nicolas Kleovoulou</cp:lastModifiedBy>
  <cp:revision>3</cp:revision>
  <cp:lastPrinted>2015-07-09T11:01:00Z</cp:lastPrinted>
  <dcterms:created xsi:type="dcterms:W3CDTF">2015-11-13T08:51:00Z</dcterms:created>
  <dcterms:modified xsi:type="dcterms:W3CDTF">2017-07-18T13:42:00Z</dcterms:modified>
</cp:coreProperties>
</file>