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F4" w:rsidRDefault="002638B4" w:rsidP="00B02377">
      <w:pPr>
        <w:jc w:val="center"/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-331470</wp:posOffset>
                </wp:positionV>
                <wp:extent cx="2115820" cy="1010920"/>
                <wp:effectExtent l="5080" t="11430" r="1270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94" w:rsidRDefault="002638B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921510" cy="798195"/>
                                  <wp:effectExtent l="0" t="0" r="2540" b="190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1510" cy="798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1.65pt;margin-top:-26.1pt;width:166.6pt;height:7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" strokecolor="white">
                <v:textbox style="mso-fit-shape-to-text:t">
                  <w:txbxContent>
                    <w:p w:rsidR="00AE7494" w:rsidRDefault="002638B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921510" cy="798195"/>
                            <wp:effectExtent l="0" t="0" r="2540" b="190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1510" cy="798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-496570</wp:posOffset>
                </wp:positionV>
                <wp:extent cx="1428115" cy="1169035"/>
                <wp:effectExtent l="6985" t="8255" r="1270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F1E" w:rsidRDefault="002638B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70305" cy="9531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305" cy="953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55pt;margin-top:-39.1pt;width:112.45pt;height:9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" strokecolor="white">
                <v:textbox style="mso-fit-shape-to-text:t">
                  <w:txbxContent>
                    <w:p w:rsidR="001B2F1E" w:rsidRDefault="002638B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70305" cy="9531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305" cy="953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55F4" w:rsidRDefault="00AA55F4" w:rsidP="00B02377">
      <w:pPr>
        <w:jc w:val="center"/>
        <w:rPr>
          <w:rFonts w:ascii="Arial" w:hAnsi="Arial" w:cs="Arial"/>
          <w:b/>
          <w:color w:val="000000"/>
          <w:sz w:val="24"/>
        </w:rPr>
      </w:pPr>
    </w:p>
    <w:p w:rsidR="00AA55F4" w:rsidRDefault="00AA55F4" w:rsidP="00B02377">
      <w:pPr>
        <w:jc w:val="center"/>
        <w:rPr>
          <w:rFonts w:ascii="Arial" w:hAnsi="Arial" w:cs="Arial"/>
          <w:b/>
          <w:color w:val="000000"/>
          <w:sz w:val="24"/>
        </w:rPr>
      </w:pPr>
    </w:p>
    <w:p w:rsidR="00B02377" w:rsidRPr="00AA55F4" w:rsidRDefault="00B02377" w:rsidP="00C73AE5">
      <w:pPr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AA55F4">
        <w:rPr>
          <w:rFonts w:ascii="Arial" w:hAnsi="Arial" w:cs="Arial"/>
          <w:b/>
          <w:color w:val="000000"/>
          <w:sz w:val="28"/>
        </w:rPr>
        <w:t>Questionnaire on a</w:t>
      </w:r>
      <w:r w:rsidR="00B04164" w:rsidRPr="00AA55F4">
        <w:rPr>
          <w:rFonts w:ascii="Arial" w:hAnsi="Arial" w:cs="Arial"/>
          <w:b/>
          <w:color w:val="000000"/>
          <w:sz w:val="28"/>
        </w:rPr>
        <w:t xml:space="preserve">ssessment of </w:t>
      </w:r>
      <w:r w:rsidR="001A3FB5" w:rsidRPr="00AA55F4">
        <w:rPr>
          <w:rFonts w:ascii="Arial" w:hAnsi="Arial" w:cs="Arial"/>
          <w:b/>
          <w:color w:val="000000"/>
          <w:sz w:val="28"/>
        </w:rPr>
        <w:t xml:space="preserve">the expected impact of non-centrally cleared </w:t>
      </w:r>
      <w:r w:rsidRPr="00AA55F4">
        <w:rPr>
          <w:rFonts w:ascii="Arial" w:hAnsi="Arial" w:cs="Arial"/>
          <w:b/>
          <w:color w:val="000000"/>
          <w:sz w:val="28"/>
        </w:rPr>
        <w:t xml:space="preserve">OTC Derivatives margin requirements </w:t>
      </w:r>
    </w:p>
    <w:p w:rsidR="00C73AE5" w:rsidRDefault="00C73AE5" w:rsidP="006C730A">
      <w:pPr>
        <w:pStyle w:val="NoSpacing"/>
        <w:jc w:val="both"/>
        <w:rPr>
          <w:rFonts w:ascii="Arial" w:hAnsi="Arial" w:cs="Arial"/>
          <w:color w:val="000000"/>
        </w:rPr>
      </w:pPr>
    </w:p>
    <w:p w:rsidR="006C730A" w:rsidRPr="00556BBD" w:rsidRDefault="006C730A" w:rsidP="006C730A">
      <w:pPr>
        <w:pStyle w:val="NoSpacing"/>
        <w:jc w:val="both"/>
        <w:rPr>
          <w:rFonts w:ascii="Arial" w:hAnsi="Arial" w:cs="Arial"/>
          <w:color w:val="000000"/>
        </w:rPr>
      </w:pPr>
      <w:r w:rsidRPr="00556BBD">
        <w:rPr>
          <w:rFonts w:ascii="Arial" w:hAnsi="Arial" w:cs="Arial"/>
          <w:color w:val="000000"/>
        </w:rPr>
        <w:t xml:space="preserve">The Prudential Authority (PA) </w:t>
      </w:r>
      <w:r w:rsidR="00AA55F4">
        <w:rPr>
          <w:rFonts w:ascii="Arial" w:hAnsi="Arial" w:cs="Arial"/>
          <w:color w:val="000000"/>
        </w:rPr>
        <w:t xml:space="preserve">and </w:t>
      </w:r>
      <w:r w:rsidRPr="00556BBD">
        <w:rPr>
          <w:rFonts w:ascii="Arial" w:hAnsi="Arial" w:cs="Arial"/>
          <w:color w:val="000000"/>
        </w:rPr>
        <w:t xml:space="preserve">the Financial Sector Conduct Authority (FSCA) are in the process of </w:t>
      </w:r>
      <w:r w:rsidR="003A4B58">
        <w:rPr>
          <w:rFonts w:ascii="Arial" w:hAnsi="Arial" w:cs="Arial"/>
          <w:color w:val="000000"/>
        </w:rPr>
        <w:t xml:space="preserve">revising the </w:t>
      </w:r>
      <w:r w:rsidRPr="00556BBD">
        <w:rPr>
          <w:rFonts w:ascii="Arial" w:hAnsi="Arial" w:cs="Arial"/>
          <w:color w:val="000000"/>
        </w:rPr>
        <w:t xml:space="preserve">margin requirements in respect of non-centrally cleared </w:t>
      </w:r>
      <w:r w:rsidR="00A039C0">
        <w:rPr>
          <w:rFonts w:ascii="Arial" w:hAnsi="Arial" w:cs="Arial"/>
          <w:color w:val="000000"/>
        </w:rPr>
        <w:t>Over-the-Counter (</w:t>
      </w:r>
      <w:r w:rsidRPr="00556BBD">
        <w:rPr>
          <w:rFonts w:ascii="Arial" w:hAnsi="Arial" w:cs="Arial"/>
          <w:color w:val="000000"/>
        </w:rPr>
        <w:t>OTC</w:t>
      </w:r>
      <w:r w:rsidR="00A039C0">
        <w:rPr>
          <w:rFonts w:ascii="Arial" w:hAnsi="Arial" w:cs="Arial"/>
          <w:color w:val="000000"/>
        </w:rPr>
        <w:t>)</w:t>
      </w:r>
      <w:r w:rsidRPr="00556BBD">
        <w:rPr>
          <w:rFonts w:ascii="Arial" w:hAnsi="Arial" w:cs="Arial"/>
          <w:color w:val="000000"/>
        </w:rPr>
        <w:t xml:space="preserve"> </w:t>
      </w:r>
      <w:r w:rsidR="003A4B58">
        <w:rPr>
          <w:rFonts w:ascii="Arial" w:hAnsi="Arial" w:cs="Arial"/>
          <w:color w:val="000000"/>
        </w:rPr>
        <w:t>d</w:t>
      </w:r>
      <w:r w:rsidRPr="00556BBD">
        <w:rPr>
          <w:rFonts w:ascii="Arial" w:hAnsi="Arial" w:cs="Arial"/>
          <w:color w:val="000000"/>
        </w:rPr>
        <w:t>erivatives</w:t>
      </w:r>
      <w:r w:rsidR="003A4B58">
        <w:rPr>
          <w:rFonts w:ascii="Arial" w:hAnsi="Arial" w:cs="Arial"/>
          <w:color w:val="000000"/>
        </w:rPr>
        <w:t xml:space="preserve"> transactions as a Joint Standard to be issued by the two Authorities</w:t>
      </w:r>
      <w:r w:rsidRPr="00556BBD">
        <w:rPr>
          <w:rFonts w:ascii="Arial" w:hAnsi="Arial" w:cs="Arial"/>
          <w:color w:val="000000"/>
        </w:rPr>
        <w:t>.</w:t>
      </w:r>
    </w:p>
    <w:p w:rsidR="006C730A" w:rsidRPr="00556BBD" w:rsidRDefault="006C730A" w:rsidP="006C730A">
      <w:pPr>
        <w:pStyle w:val="NoSpacing"/>
        <w:jc w:val="both"/>
        <w:rPr>
          <w:rFonts w:ascii="Arial" w:hAnsi="Arial" w:cs="Arial"/>
          <w:color w:val="000000"/>
        </w:rPr>
      </w:pPr>
    </w:p>
    <w:p w:rsidR="006C730A" w:rsidRPr="00556BBD" w:rsidRDefault="006C730A" w:rsidP="006C730A">
      <w:pPr>
        <w:pStyle w:val="NoSpacing"/>
        <w:jc w:val="both"/>
        <w:rPr>
          <w:rFonts w:ascii="Arial" w:hAnsi="Arial" w:cs="Arial"/>
          <w:color w:val="000000"/>
        </w:rPr>
      </w:pPr>
      <w:r w:rsidRPr="00556BBD">
        <w:rPr>
          <w:rFonts w:ascii="Arial" w:hAnsi="Arial" w:cs="Arial"/>
          <w:color w:val="000000"/>
        </w:rPr>
        <w:t xml:space="preserve">As part of the process for making </w:t>
      </w:r>
      <w:r w:rsidR="003A4B58">
        <w:rPr>
          <w:rFonts w:ascii="Arial" w:hAnsi="Arial" w:cs="Arial"/>
          <w:color w:val="000000"/>
        </w:rPr>
        <w:t>standard</w:t>
      </w:r>
      <w:r w:rsidRPr="00556BBD">
        <w:rPr>
          <w:rFonts w:ascii="Arial" w:hAnsi="Arial" w:cs="Arial"/>
          <w:color w:val="000000"/>
        </w:rPr>
        <w:t xml:space="preserve"> in terms of the Financial Sector Regulation Act</w:t>
      </w:r>
      <w:r w:rsidR="00A039C0">
        <w:rPr>
          <w:rFonts w:ascii="Arial" w:hAnsi="Arial" w:cs="Arial"/>
          <w:color w:val="000000"/>
        </w:rPr>
        <w:t>, 2017</w:t>
      </w:r>
      <w:r w:rsidRPr="00556BBD">
        <w:rPr>
          <w:rFonts w:ascii="Arial" w:hAnsi="Arial" w:cs="Arial"/>
          <w:color w:val="000000"/>
        </w:rPr>
        <w:t xml:space="preserve"> (Act No. 9 of 2017), the </w:t>
      </w:r>
      <w:r w:rsidR="003A4B58">
        <w:rPr>
          <w:rFonts w:ascii="Arial" w:hAnsi="Arial" w:cs="Arial"/>
          <w:color w:val="000000"/>
        </w:rPr>
        <w:t>Authorities</w:t>
      </w:r>
      <w:r w:rsidRPr="00556BBD">
        <w:rPr>
          <w:rFonts w:ascii="Arial" w:hAnsi="Arial" w:cs="Arial"/>
          <w:color w:val="000000"/>
        </w:rPr>
        <w:t xml:space="preserve"> are expected to publish a statement of the expected impact of the </w:t>
      </w:r>
      <w:r w:rsidR="003A4B58">
        <w:rPr>
          <w:rFonts w:ascii="Arial" w:hAnsi="Arial" w:cs="Arial"/>
          <w:color w:val="000000"/>
        </w:rPr>
        <w:t>standard</w:t>
      </w:r>
      <w:r w:rsidRPr="00556BBD">
        <w:rPr>
          <w:rFonts w:ascii="Arial" w:hAnsi="Arial" w:cs="Arial"/>
          <w:color w:val="000000"/>
        </w:rPr>
        <w:t xml:space="preserve"> under consideration. Against this background, the information is being gathered in order to ascertain the expected impact of the non-centrally cleared OTC </w:t>
      </w:r>
      <w:r w:rsidR="003A4B58">
        <w:rPr>
          <w:rFonts w:ascii="Arial" w:hAnsi="Arial" w:cs="Arial"/>
          <w:color w:val="000000"/>
        </w:rPr>
        <w:t>d</w:t>
      </w:r>
      <w:r w:rsidRPr="00556BBD">
        <w:rPr>
          <w:rFonts w:ascii="Arial" w:hAnsi="Arial" w:cs="Arial"/>
          <w:color w:val="000000"/>
        </w:rPr>
        <w:t xml:space="preserve">erivatives margin requirements on </w:t>
      </w:r>
      <w:r w:rsidR="004D2E23">
        <w:rPr>
          <w:rFonts w:ascii="Arial" w:hAnsi="Arial" w:cs="Arial"/>
          <w:color w:val="000000"/>
        </w:rPr>
        <w:t>market participants.</w:t>
      </w:r>
    </w:p>
    <w:p w:rsidR="006C730A" w:rsidRPr="00556BBD" w:rsidRDefault="006C730A" w:rsidP="006C730A">
      <w:pPr>
        <w:pStyle w:val="NoSpacing"/>
        <w:jc w:val="both"/>
        <w:rPr>
          <w:rFonts w:ascii="Arial" w:hAnsi="Arial" w:cs="Arial"/>
          <w:color w:val="000000"/>
        </w:rPr>
      </w:pPr>
    </w:p>
    <w:p w:rsidR="005B1940" w:rsidRPr="00556BBD" w:rsidRDefault="00AE7494" w:rsidP="00B04164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A039C0">
        <w:rPr>
          <w:rFonts w:ascii="Arial" w:hAnsi="Arial" w:cs="Arial"/>
          <w:color w:val="000000"/>
        </w:rPr>
        <w:t>r</w:t>
      </w:r>
      <w:r w:rsidR="005E7E85" w:rsidRPr="00556BBD">
        <w:rPr>
          <w:rFonts w:ascii="Arial" w:hAnsi="Arial" w:cs="Arial"/>
          <w:color w:val="000000"/>
        </w:rPr>
        <w:t xml:space="preserve">esponses to the questionnaire will be </w:t>
      </w:r>
      <w:r w:rsidR="002512D8" w:rsidRPr="00556BBD">
        <w:rPr>
          <w:rFonts w:ascii="Arial" w:hAnsi="Arial" w:cs="Arial"/>
          <w:color w:val="000000"/>
        </w:rPr>
        <w:t>anonymised</w:t>
      </w:r>
      <w:r w:rsidR="005E7E85" w:rsidRPr="00556BBD">
        <w:rPr>
          <w:rFonts w:ascii="Arial" w:hAnsi="Arial" w:cs="Arial"/>
          <w:color w:val="000000"/>
        </w:rPr>
        <w:t xml:space="preserve"> </w:t>
      </w:r>
      <w:r w:rsidR="002512D8" w:rsidRPr="00556BBD">
        <w:rPr>
          <w:rFonts w:ascii="Arial" w:hAnsi="Arial" w:cs="Arial"/>
          <w:color w:val="000000"/>
        </w:rPr>
        <w:t xml:space="preserve">and </w:t>
      </w:r>
      <w:r w:rsidR="005B1940" w:rsidRPr="00556BBD">
        <w:rPr>
          <w:rFonts w:ascii="Arial" w:hAnsi="Arial" w:cs="Arial"/>
          <w:color w:val="000000"/>
        </w:rPr>
        <w:t xml:space="preserve">used </w:t>
      </w:r>
      <w:r w:rsidR="001A3E37">
        <w:rPr>
          <w:rFonts w:ascii="Arial" w:hAnsi="Arial" w:cs="Arial"/>
          <w:color w:val="000000"/>
        </w:rPr>
        <w:t>to assess</w:t>
      </w:r>
      <w:r w:rsidR="002512D8" w:rsidRPr="00556BBD">
        <w:rPr>
          <w:rFonts w:ascii="Arial" w:hAnsi="Arial" w:cs="Arial"/>
          <w:color w:val="000000"/>
        </w:rPr>
        <w:t xml:space="preserve"> </w:t>
      </w:r>
      <w:r w:rsidR="001A3E37">
        <w:rPr>
          <w:rFonts w:ascii="Arial" w:hAnsi="Arial" w:cs="Arial"/>
          <w:color w:val="000000"/>
        </w:rPr>
        <w:t>the</w:t>
      </w:r>
      <w:r w:rsidR="002512D8" w:rsidRPr="00556BBD">
        <w:rPr>
          <w:rFonts w:ascii="Arial" w:hAnsi="Arial" w:cs="Arial"/>
          <w:color w:val="000000"/>
        </w:rPr>
        <w:t xml:space="preserve"> expected impact of the </w:t>
      </w:r>
      <w:r w:rsidR="004D2E23">
        <w:rPr>
          <w:rFonts w:ascii="Arial" w:hAnsi="Arial" w:cs="Arial"/>
          <w:color w:val="000000"/>
        </w:rPr>
        <w:t xml:space="preserve">proposed </w:t>
      </w:r>
      <w:r w:rsidR="003A4B58">
        <w:rPr>
          <w:rFonts w:ascii="Arial" w:hAnsi="Arial" w:cs="Arial"/>
          <w:color w:val="000000"/>
        </w:rPr>
        <w:t xml:space="preserve">margin </w:t>
      </w:r>
      <w:r w:rsidR="008905D2">
        <w:rPr>
          <w:rFonts w:ascii="Arial" w:hAnsi="Arial" w:cs="Arial"/>
          <w:color w:val="000000"/>
        </w:rPr>
        <w:t>requirements</w:t>
      </w:r>
      <w:r w:rsidR="003A4B58">
        <w:rPr>
          <w:rFonts w:ascii="Arial" w:hAnsi="Arial" w:cs="Arial"/>
          <w:color w:val="000000"/>
        </w:rPr>
        <w:t xml:space="preserve"> for </w:t>
      </w:r>
      <w:r w:rsidR="004D2E23">
        <w:rPr>
          <w:rFonts w:ascii="Arial" w:hAnsi="Arial" w:cs="Arial"/>
          <w:color w:val="000000"/>
        </w:rPr>
        <w:t xml:space="preserve">non-centrally cleared OTC </w:t>
      </w:r>
      <w:r w:rsidR="003A4B58">
        <w:rPr>
          <w:rFonts w:ascii="Arial" w:hAnsi="Arial" w:cs="Arial"/>
          <w:color w:val="000000"/>
        </w:rPr>
        <w:t>d</w:t>
      </w:r>
      <w:r w:rsidR="004D2E23">
        <w:rPr>
          <w:rFonts w:ascii="Arial" w:hAnsi="Arial" w:cs="Arial"/>
          <w:color w:val="000000"/>
        </w:rPr>
        <w:t>erivative</w:t>
      </w:r>
      <w:r w:rsidR="003A4B58">
        <w:rPr>
          <w:rFonts w:ascii="Arial" w:hAnsi="Arial" w:cs="Arial"/>
          <w:color w:val="000000"/>
        </w:rPr>
        <w:t xml:space="preserve"> transactions</w:t>
      </w:r>
      <w:r w:rsidR="002512D8" w:rsidRPr="00556BBD">
        <w:rPr>
          <w:rFonts w:ascii="Arial" w:hAnsi="Arial" w:cs="Arial"/>
          <w:color w:val="000000"/>
        </w:rPr>
        <w:t>.</w:t>
      </w:r>
      <w:r w:rsidR="001A3E37">
        <w:rPr>
          <w:rFonts w:ascii="Arial" w:hAnsi="Arial" w:cs="Arial"/>
          <w:color w:val="000000"/>
        </w:rPr>
        <w:t xml:space="preserve"> Information obtained will be treated as strictly confidential and only utilised for the purpose indicated above. </w:t>
      </w:r>
    </w:p>
    <w:p w:rsidR="00F84835" w:rsidRDefault="00F84835" w:rsidP="00B04164">
      <w:pPr>
        <w:pStyle w:val="NoSpacing"/>
        <w:jc w:val="both"/>
        <w:rPr>
          <w:rFonts w:ascii="Arial" w:hAnsi="Arial" w:cs="Arial"/>
          <w:color w:val="000000"/>
        </w:rPr>
      </w:pPr>
    </w:p>
    <w:p w:rsidR="000D20CC" w:rsidRDefault="0094192D" w:rsidP="003E3D6F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When completing the questionnaire, please bear in mind the </w:t>
      </w:r>
      <w:r w:rsidR="00AD65D2">
        <w:rPr>
          <w:rFonts w:ascii="Arial" w:hAnsi="Arial" w:cs="Arial"/>
          <w:color w:val="000000"/>
        </w:rPr>
        <w:t xml:space="preserve">following </w:t>
      </w:r>
      <w:r w:rsidR="000D20CC">
        <w:rPr>
          <w:rFonts w:ascii="Arial" w:hAnsi="Arial" w:cs="Arial"/>
          <w:color w:val="000000"/>
        </w:rPr>
        <w:t>assumptions</w:t>
      </w:r>
      <w:r w:rsidR="00B52D7F">
        <w:rPr>
          <w:rFonts w:ascii="Arial" w:hAnsi="Arial" w:cs="Arial"/>
          <w:color w:val="000000"/>
        </w:rPr>
        <w:t xml:space="preserve"> / considerations</w:t>
      </w:r>
      <w:r w:rsidR="000D20CC">
        <w:rPr>
          <w:rFonts w:ascii="Arial" w:hAnsi="Arial" w:cs="Arial"/>
          <w:color w:val="000000"/>
        </w:rPr>
        <w:t>:</w:t>
      </w:r>
    </w:p>
    <w:p w:rsidR="000D20CC" w:rsidRDefault="000D20CC" w:rsidP="003E3D6F">
      <w:pPr>
        <w:pStyle w:val="NoSpacing"/>
        <w:jc w:val="both"/>
        <w:rPr>
          <w:rFonts w:ascii="Arial" w:hAnsi="Arial" w:cs="Arial"/>
          <w:color w:val="000000"/>
        </w:rPr>
      </w:pPr>
    </w:p>
    <w:p w:rsidR="00165B7C" w:rsidRPr="00C73AE5" w:rsidRDefault="00C73AE5" w:rsidP="00C73AE5">
      <w:pPr>
        <w:pStyle w:val="Default"/>
        <w:numPr>
          <w:ilvl w:val="0"/>
          <w:numId w:val="11"/>
        </w:numPr>
        <w:spacing w:after="142"/>
        <w:ind w:left="284" w:hanging="284"/>
        <w:jc w:val="both"/>
        <w:rPr>
          <w:color w:val="auto"/>
          <w:sz w:val="20"/>
          <w:szCs w:val="22"/>
          <w:lang w:eastAsia="en-US"/>
        </w:rPr>
      </w:pPr>
      <w:r w:rsidRPr="00C73AE5">
        <w:rPr>
          <w:color w:val="auto"/>
          <w:sz w:val="22"/>
        </w:rPr>
        <w:t>T</w:t>
      </w:r>
      <w:r w:rsidR="00165B7C" w:rsidRPr="00C73AE5">
        <w:rPr>
          <w:color w:val="auto"/>
          <w:sz w:val="22"/>
        </w:rPr>
        <w:t xml:space="preserve">he </w:t>
      </w:r>
      <w:r w:rsidR="00B52D7F">
        <w:rPr>
          <w:color w:val="auto"/>
          <w:sz w:val="22"/>
        </w:rPr>
        <w:t xml:space="preserve">margin requirements are applicable to “covered entities” and the </w:t>
      </w:r>
      <w:r w:rsidR="00165B7C" w:rsidRPr="00C73AE5">
        <w:rPr>
          <w:color w:val="auto"/>
          <w:sz w:val="22"/>
        </w:rPr>
        <w:t>following are covered entities for purposes of the margin requirements:</w:t>
      </w:r>
    </w:p>
    <w:p w:rsidR="00165B7C" w:rsidRPr="00165B7C" w:rsidRDefault="00165B7C" w:rsidP="00C73AE5">
      <w:pPr>
        <w:pStyle w:val="ListParagraph"/>
        <w:widowControl/>
        <w:numPr>
          <w:ilvl w:val="0"/>
          <w:numId w:val="16"/>
        </w:numPr>
        <w:tabs>
          <w:tab w:val="left" w:pos="709"/>
        </w:tabs>
        <w:snapToGrid w:val="0"/>
        <w:ind w:left="709" w:hanging="425"/>
        <w:jc w:val="both"/>
        <w:rPr>
          <w:rFonts w:ascii="Arial" w:hAnsi="Arial" w:cs="Arial"/>
          <w:sz w:val="22"/>
          <w:szCs w:val="22"/>
          <w:lang w:eastAsia="en-ZA"/>
        </w:rPr>
      </w:pPr>
      <w:r w:rsidRPr="00165B7C">
        <w:rPr>
          <w:rFonts w:ascii="Arial" w:hAnsi="Arial" w:cs="Arial"/>
          <w:sz w:val="22"/>
          <w:szCs w:val="22"/>
          <w:lang w:eastAsia="en-ZA"/>
        </w:rPr>
        <w:t>An authorised OTC derivative provider;</w:t>
      </w:r>
    </w:p>
    <w:p w:rsidR="00165B7C" w:rsidRPr="00C73AE5" w:rsidRDefault="00165B7C" w:rsidP="00C73AE5">
      <w:pPr>
        <w:pStyle w:val="ListParagraph"/>
        <w:widowControl/>
        <w:numPr>
          <w:ilvl w:val="0"/>
          <w:numId w:val="16"/>
        </w:numPr>
        <w:tabs>
          <w:tab w:val="left" w:pos="709"/>
        </w:tabs>
        <w:snapToGrid w:val="0"/>
        <w:ind w:left="709" w:hanging="425"/>
        <w:jc w:val="both"/>
        <w:rPr>
          <w:rFonts w:ascii="Arial" w:hAnsi="Arial" w:cs="Arial"/>
          <w:sz w:val="22"/>
          <w:szCs w:val="22"/>
          <w:lang w:eastAsia="en-ZA"/>
        </w:rPr>
      </w:pPr>
      <w:r w:rsidRPr="00C73AE5">
        <w:rPr>
          <w:rFonts w:ascii="Arial" w:hAnsi="Arial" w:cs="Arial"/>
          <w:sz w:val="22"/>
          <w:szCs w:val="22"/>
          <w:lang w:eastAsia="en-ZA"/>
        </w:rPr>
        <w:t>an authorised user;</w:t>
      </w:r>
    </w:p>
    <w:p w:rsidR="00165B7C" w:rsidRPr="00C73AE5" w:rsidRDefault="00165B7C" w:rsidP="00C73AE5">
      <w:pPr>
        <w:pStyle w:val="ListParagraph"/>
        <w:widowControl/>
        <w:numPr>
          <w:ilvl w:val="0"/>
          <w:numId w:val="16"/>
        </w:numPr>
        <w:tabs>
          <w:tab w:val="left" w:pos="709"/>
        </w:tabs>
        <w:snapToGrid w:val="0"/>
        <w:ind w:left="709" w:hanging="425"/>
        <w:jc w:val="both"/>
        <w:rPr>
          <w:rFonts w:ascii="Arial" w:hAnsi="Arial" w:cs="Arial"/>
          <w:sz w:val="22"/>
          <w:szCs w:val="22"/>
          <w:lang w:eastAsia="en-ZA"/>
        </w:rPr>
      </w:pPr>
      <w:r w:rsidRPr="00C73AE5">
        <w:rPr>
          <w:rFonts w:ascii="Arial" w:hAnsi="Arial" w:cs="Arial"/>
          <w:sz w:val="22"/>
          <w:szCs w:val="22"/>
          <w:lang w:eastAsia="en-ZA"/>
        </w:rPr>
        <w:t>a bank, bank controlling company or branch  as defined in terms of the Banks Act, 1990 (Act No. 94 of 1990);</w:t>
      </w:r>
    </w:p>
    <w:p w:rsidR="00165B7C" w:rsidRPr="00C73AE5" w:rsidRDefault="00165B7C" w:rsidP="00C73AE5">
      <w:pPr>
        <w:pStyle w:val="ListParagraph"/>
        <w:widowControl/>
        <w:numPr>
          <w:ilvl w:val="0"/>
          <w:numId w:val="16"/>
        </w:numPr>
        <w:tabs>
          <w:tab w:val="left" w:pos="709"/>
        </w:tabs>
        <w:snapToGrid w:val="0"/>
        <w:ind w:left="709" w:hanging="425"/>
        <w:jc w:val="both"/>
        <w:rPr>
          <w:rFonts w:ascii="Arial" w:hAnsi="Arial" w:cs="Arial"/>
          <w:sz w:val="22"/>
          <w:szCs w:val="22"/>
          <w:lang w:eastAsia="en-ZA"/>
        </w:rPr>
      </w:pPr>
      <w:r w:rsidRPr="00C73AE5">
        <w:rPr>
          <w:rFonts w:ascii="Arial" w:hAnsi="Arial" w:cs="Arial"/>
          <w:sz w:val="22"/>
          <w:szCs w:val="22"/>
          <w:lang w:eastAsia="en-ZA"/>
        </w:rPr>
        <w:t>a manager of a collective investment scheme registered in terms of the Collective Investment Schemes Control Act, 2002 (Act No. 45 of 2002);</w:t>
      </w:r>
    </w:p>
    <w:p w:rsidR="00165B7C" w:rsidRPr="00C73AE5" w:rsidRDefault="00165B7C" w:rsidP="00C73AE5">
      <w:pPr>
        <w:pStyle w:val="ListParagraph"/>
        <w:widowControl/>
        <w:numPr>
          <w:ilvl w:val="0"/>
          <w:numId w:val="16"/>
        </w:numPr>
        <w:tabs>
          <w:tab w:val="left" w:pos="709"/>
        </w:tabs>
        <w:snapToGrid w:val="0"/>
        <w:ind w:left="709" w:hanging="425"/>
        <w:jc w:val="both"/>
        <w:rPr>
          <w:rFonts w:ascii="Arial" w:hAnsi="Arial" w:cs="Arial"/>
          <w:sz w:val="22"/>
          <w:szCs w:val="22"/>
          <w:lang w:eastAsia="en-ZA"/>
        </w:rPr>
      </w:pPr>
      <w:r w:rsidRPr="00C73AE5">
        <w:rPr>
          <w:rFonts w:ascii="Arial" w:hAnsi="Arial" w:cs="Arial"/>
          <w:sz w:val="22"/>
          <w:szCs w:val="22"/>
          <w:lang w:eastAsia="en-ZA"/>
        </w:rPr>
        <w:t>a financial services provider authorised to provide financial services in derivative instruments as contemplated in the Financial Advisory and Intermediary Services Act, 2002 (Act No. 37 of 2002);</w:t>
      </w:r>
    </w:p>
    <w:p w:rsidR="00165B7C" w:rsidRPr="00C73AE5" w:rsidRDefault="00165B7C" w:rsidP="00C73AE5">
      <w:pPr>
        <w:pStyle w:val="ListParagraph"/>
        <w:widowControl/>
        <w:numPr>
          <w:ilvl w:val="0"/>
          <w:numId w:val="16"/>
        </w:numPr>
        <w:tabs>
          <w:tab w:val="left" w:pos="709"/>
        </w:tabs>
        <w:snapToGrid w:val="0"/>
        <w:ind w:left="709" w:hanging="425"/>
        <w:jc w:val="both"/>
        <w:rPr>
          <w:rFonts w:ascii="Arial" w:hAnsi="Arial" w:cs="Arial"/>
          <w:sz w:val="22"/>
          <w:szCs w:val="22"/>
          <w:lang w:eastAsia="en-ZA"/>
        </w:rPr>
      </w:pPr>
      <w:r w:rsidRPr="00C73AE5">
        <w:rPr>
          <w:rFonts w:ascii="Arial" w:hAnsi="Arial" w:cs="Arial"/>
          <w:sz w:val="22"/>
          <w:szCs w:val="22"/>
          <w:lang w:eastAsia="en-ZA"/>
        </w:rPr>
        <w:t>an insurer registered to conduct long-term insurance business in terms of the Long-term Insurance Act, 1998 (Act No. 52 of 1998);</w:t>
      </w:r>
    </w:p>
    <w:p w:rsidR="00165B7C" w:rsidRPr="00C73AE5" w:rsidRDefault="00165B7C" w:rsidP="00C73AE5">
      <w:pPr>
        <w:pStyle w:val="ListParagraph"/>
        <w:widowControl/>
        <w:numPr>
          <w:ilvl w:val="0"/>
          <w:numId w:val="16"/>
        </w:numPr>
        <w:tabs>
          <w:tab w:val="left" w:pos="709"/>
        </w:tabs>
        <w:snapToGrid w:val="0"/>
        <w:ind w:left="709" w:hanging="425"/>
        <w:jc w:val="both"/>
        <w:rPr>
          <w:rFonts w:ascii="Arial" w:hAnsi="Arial" w:cs="Arial"/>
          <w:sz w:val="22"/>
          <w:szCs w:val="22"/>
          <w:lang w:eastAsia="en-ZA"/>
        </w:rPr>
      </w:pPr>
      <w:r w:rsidRPr="00C73AE5">
        <w:rPr>
          <w:rFonts w:ascii="Arial" w:hAnsi="Arial" w:cs="Arial"/>
          <w:sz w:val="22"/>
          <w:szCs w:val="22"/>
          <w:lang w:eastAsia="en-ZA"/>
        </w:rPr>
        <w:t>an insurer</w:t>
      </w:r>
      <w:r w:rsidRPr="00C73AE5">
        <w:rPr>
          <w:rFonts w:ascii="Arial" w:hAnsi="Arial" w:cs="Arial"/>
          <w:i/>
          <w:iCs/>
          <w:sz w:val="22"/>
          <w:szCs w:val="22"/>
          <w:lang w:eastAsia="en-ZA"/>
        </w:rPr>
        <w:t xml:space="preserve"> </w:t>
      </w:r>
      <w:r w:rsidRPr="00C73AE5">
        <w:rPr>
          <w:rFonts w:ascii="Arial" w:hAnsi="Arial" w:cs="Arial"/>
          <w:sz w:val="22"/>
          <w:szCs w:val="22"/>
          <w:lang w:eastAsia="en-ZA"/>
        </w:rPr>
        <w:t>registered to conduct short-term insurance business in terms of the Short-term Insurance Act, 1998 (Act No. 53 of 1998);</w:t>
      </w:r>
      <w:r w:rsidR="00C73AE5">
        <w:rPr>
          <w:rFonts w:ascii="Arial" w:hAnsi="Arial" w:cs="Arial"/>
          <w:sz w:val="22"/>
          <w:szCs w:val="22"/>
          <w:lang w:eastAsia="en-ZA"/>
        </w:rPr>
        <w:t xml:space="preserve"> and</w:t>
      </w:r>
    </w:p>
    <w:p w:rsidR="00165B7C" w:rsidRPr="00C73AE5" w:rsidRDefault="00165B7C" w:rsidP="00C73AE5">
      <w:pPr>
        <w:pStyle w:val="ListParagraph"/>
        <w:widowControl/>
        <w:numPr>
          <w:ilvl w:val="0"/>
          <w:numId w:val="16"/>
        </w:numPr>
        <w:tabs>
          <w:tab w:val="left" w:pos="709"/>
        </w:tabs>
        <w:snapToGrid w:val="0"/>
        <w:ind w:left="709" w:hanging="425"/>
        <w:jc w:val="both"/>
        <w:rPr>
          <w:rFonts w:ascii="Arial" w:hAnsi="Arial" w:cs="Arial"/>
          <w:sz w:val="22"/>
          <w:szCs w:val="22"/>
          <w:lang w:eastAsia="en-ZA"/>
        </w:rPr>
      </w:pPr>
      <w:r w:rsidRPr="00C73AE5">
        <w:rPr>
          <w:rFonts w:ascii="Arial" w:hAnsi="Arial" w:cs="Arial"/>
          <w:sz w:val="22"/>
          <w:szCs w:val="22"/>
          <w:lang w:eastAsia="en-ZA"/>
        </w:rPr>
        <w:t xml:space="preserve">a private equity fund. </w:t>
      </w:r>
    </w:p>
    <w:p w:rsidR="00C73AE5" w:rsidRDefault="00C73AE5" w:rsidP="00C73AE5">
      <w:pPr>
        <w:pStyle w:val="NoSpacing"/>
      </w:pPr>
    </w:p>
    <w:p w:rsidR="003E3D6F" w:rsidRDefault="000D20CC" w:rsidP="003E3D6F">
      <w:pPr>
        <w:pStyle w:val="Default"/>
        <w:numPr>
          <w:ilvl w:val="0"/>
          <w:numId w:val="11"/>
        </w:numPr>
        <w:spacing w:after="142"/>
        <w:ind w:left="284" w:hanging="284"/>
        <w:jc w:val="both"/>
        <w:rPr>
          <w:sz w:val="22"/>
          <w:szCs w:val="22"/>
        </w:rPr>
      </w:pPr>
      <w:r w:rsidRPr="003E3D6F">
        <w:rPr>
          <w:sz w:val="22"/>
          <w:szCs w:val="22"/>
        </w:rPr>
        <w:t xml:space="preserve">When the initial margin amount to be exchanged is less than the threshold amount of R500 million, </w:t>
      </w:r>
      <w:r w:rsidR="00B5161F">
        <w:rPr>
          <w:sz w:val="22"/>
          <w:szCs w:val="22"/>
        </w:rPr>
        <w:t>the parties to the non-centrally cleared OTC derivative transaction</w:t>
      </w:r>
      <w:r w:rsidRPr="003E3D6F">
        <w:rPr>
          <w:sz w:val="22"/>
          <w:szCs w:val="22"/>
        </w:rPr>
        <w:t xml:space="preserve"> may, at the</w:t>
      </w:r>
      <w:r w:rsidR="00B5161F">
        <w:rPr>
          <w:sz w:val="22"/>
          <w:szCs w:val="22"/>
        </w:rPr>
        <w:t>ir</w:t>
      </w:r>
      <w:r w:rsidRPr="003E3D6F">
        <w:rPr>
          <w:sz w:val="22"/>
          <w:szCs w:val="22"/>
        </w:rPr>
        <w:t xml:space="preserve"> discretion , decide whether or not to col</w:t>
      </w:r>
      <w:r w:rsidR="003E3D6F">
        <w:rPr>
          <w:sz w:val="22"/>
          <w:szCs w:val="22"/>
        </w:rPr>
        <w:t>lect the initial margin amount</w:t>
      </w:r>
      <w:r w:rsidR="00A066E7">
        <w:rPr>
          <w:sz w:val="22"/>
          <w:szCs w:val="22"/>
        </w:rPr>
        <w:t>;</w:t>
      </w:r>
      <w:r w:rsidR="003E3D6F">
        <w:rPr>
          <w:sz w:val="22"/>
          <w:szCs w:val="22"/>
        </w:rPr>
        <w:t xml:space="preserve"> </w:t>
      </w:r>
    </w:p>
    <w:p w:rsidR="003E3D6F" w:rsidRDefault="003E3D6F" w:rsidP="003E3D6F">
      <w:pPr>
        <w:pStyle w:val="Default"/>
        <w:numPr>
          <w:ilvl w:val="0"/>
          <w:numId w:val="11"/>
        </w:numPr>
        <w:spacing w:after="142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Where the initial amount to be exchanged is equal to or exceed</w:t>
      </w:r>
      <w:r w:rsidR="00B5161F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0D20CC" w:rsidRPr="003E3D6F">
        <w:rPr>
          <w:sz w:val="22"/>
          <w:szCs w:val="22"/>
        </w:rPr>
        <w:t xml:space="preserve">the threshold amount of R500 million, the </w:t>
      </w:r>
      <w:r w:rsidR="00B5161F">
        <w:rPr>
          <w:sz w:val="22"/>
          <w:szCs w:val="22"/>
        </w:rPr>
        <w:t xml:space="preserve">parties to the non-centrally cleared OTC transactions </w:t>
      </w:r>
      <w:r w:rsidR="000D20CC" w:rsidRPr="003E3D6F">
        <w:rPr>
          <w:sz w:val="22"/>
          <w:szCs w:val="22"/>
        </w:rPr>
        <w:t>must collect at least the difference between the relevant required initial margin amount and the threshold amount</w:t>
      </w:r>
      <w:r w:rsidR="00A066E7">
        <w:rPr>
          <w:sz w:val="22"/>
          <w:szCs w:val="22"/>
        </w:rPr>
        <w:t>;</w:t>
      </w:r>
    </w:p>
    <w:p w:rsidR="00362A58" w:rsidRPr="00AD65D2" w:rsidRDefault="00362A58" w:rsidP="00362A58">
      <w:pPr>
        <w:pStyle w:val="Default"/>
        <w:numPr>
          <w:ilvl w:val="0"/>
          <w:numId w:val="11"/>
        </w:numPr>
        <w:spacing w:after="142"/>
        <w:ind w:left="284" w:hanging="284"/>
        <w:jc w:val="both"/>
        <w:rPr>
          <w:sz w:val="22"/>
          <w:szCs w:val="22"/>
        </w:rPr>
      </w:pPr>
      <w:r w:rsidRPr="00AD65D2">
        <w:rPr>
          <w:sz w:val="22"/>
          <w:szCs w:val="22"/>
        </w:rPr>
        <w:lastRenderedPageBreak/>
        <w:t>Apply the staggered thresholds in respect of initial margin and variation margin as set out in the margin requirements as released by the F</w:t>
      </w:r>
      <w:r w:rsidR="00A039C0">
        <w:rPr>
          <w:sz w:val="22"/>
          <w:szCs w:val="22"/>
        </w:rPr>
        <w:t xml:space="preserve">inancial </w:t>
      </w:r>
      <w:r w:rsidRPr="00AD65D2">
        <w:rPr>
          <w:sz w:val="22"/>
          <w:szCs w:val="22"/>
        </w:rPr>
        <w:t>S</w:t>
      </w:r>
      <w:r w:rsidR="00A039C0">
        <w:rPr>
          <w:sz w:val="22"/>
          <w:szCs w:val="22"/>
        </w:rPr>
        <w:t xml:space="preserve">ervices </w:t>
      </w:r>
      <w:r w:rsidRPr="00AD65D2">
        <w:rPr>
          <w:sz w:val="22"/>
          <w:szCs w:val="22"/>
        </w:rPr>
        <w:t>B</w:t>
      </w:r>
      <w:r w:rsidR="00A039C0">
        <w:rPr>
          <w:sz w:val="22"/>
          <w:szCs w:val="22"/>
        </w:rPr>
        <w:t>oard</w:t>
      </w:r>
      <w:r w:rsidR="001B2F1E">
        <w:rPr>
          <w:sz w:val="22"/>
          <w:szCs w:val="22"/>
        </w:rPr>
        <w:t xml:space="preserve"> (FSB)</w:t>
      </w:r>
      <w:r w:rsidR="00A039C0">
        <w:rPr>
          <w:sz w:val="22"/>
          <w:szCs w:val="22"/>
        </w:rPr>
        <w:t xml:space="preserve"> (now FSCA)</w:t>
      </w:r>
      <w:r w:rsidRPr="00AD65D2">
        <w:rPr>
          <w:sz w:val="22"/>
          <w:szCs w:val="22"/>
        </w:rPr>
        <w:t xml:space="preserve"> for public consultation during August 2017 (see the margin notice e.g. Aggregate month-end average gross notional of R30 trillion etc.)</w:t>
      </w:r>
      <w:r w:rsidR="00B52D7F">
        <w:rPr>
          <w:sz w:val="22"/>
          <w:szCs w:val="22"/>
        </w:rPr>
        <w:t>, with a</w:t>
      </w:r>
      <w:r w:rsidR="008D795D">
        <w:rPr>
          <w:sz w:val="22"/>
          <w:szCs w:val="22"/>
        </w:rPr>
        <w:t xml:space="preserve"> commencement date of 1 January 2019 for the exchange of initial margin and a commencement date of 1 July 2019 </w:t>
      </w:r>
      <w:r w:rsidR="00B52D7F">
        <w:rPr>
          <w:sz w:val="22"/>
          <w:szCs w:val="22"/>
        </w:rPr>
        <w:t xml:space="preserve">for </w:t>
      </w:r>
      <w:r w:rsidR="008D795D">
        <w:rPr>
          <w:sz w:val="22"/>
          <w:szCs w:val="22"/>
        </w:rPr>
        <w:t xml:space="preserve">the </w:t>
      </w:r>
      <w:r w:rsidR="00B52D7F">
        <w:rPr>
          <w:sz w:val="22"/>
          <w:szCs w:val="22"/>
        </w:rPr>
        <w:t xml:space="preserve">exchange of </w:t>
      </w:r>
      <w:r w:rsidR="008D795D">
        <w:rPr>
          <w:sz w:val="22"/>
          <w:szCs w:val="22"/>
        </w:rPr>
        <w:t>variation margin.</w:t>
      </w:r>
    </w:p>
    <w:p w:rsidR="00362A58" w:rsidRDefault="00362A58" w:rsidP="00362A58">
      <w:pPr>
        <w:pStyle w:val="ListParagraph"/>
        <w:widowControl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066E7">
        <w:rPr>
          <w:rFonts w:ascii="Arial" w:hAnsi="Arial" w:cs="Arial"/>
          <w:sz w:val="22"/>
          <w:szCs w:val="22"/>
        </w:rPr>
        <w:t xml:space="preserve">OTC derivative transactions between covered entities in the same group are not subject to any margin requirements provided that </w:t>
      </w:r>
      <w:r w:rsidRPr="00AD65D2">
        <w:rPr>
          <w:rFonts w:ascii="Arial" w:hAnsi="Arial" w:cs="Arial"/>
          <w:sz w:val="22"/>
          <w:szCs w:val="22"/>
        </w:rPr>
        <w:t>the aggregate outstanding gross notional amount of all relevant transactions in OTC derivative transactions between any two covered entities in the group is below R1 billion at the close of</w:t>
      </w:r>
      <w:r>
        <w:rPr>
          <w:rFonts w:ascii="Arial" w:hAnsi="Arial" w:cs="Arial"/>
          <w:sz w:val="22"/>
          <w:szCs w:val="22"/>
        </w:rPr>
        <w:t xml:space="preserve"> business on each relevant day; </w:t>
      </w:r>
      <w:r w:rsidRPr="00AD65D2">
        <w:rPr>
          <w:rFonts w:ascii="Arial" w:hAnsi="Arial" w:cs="Arial"/>
          <w:sz w:val="22"/>
          <w:szCs w:val="22"/>
        </w:rPr>
        <w:t>both parties to the transaction are subject to appropriate centralised risk evaluation, measurement and control procedures; and risk management procedures of both parties are adequately robust  and consistent with the level of complexity;</w:t>
      </w:r>
      <w:r>
        <w:rPr>
          <w:rFonts w:ascii="Arial" w:hAnsi="Arial" w:cs="Arial"/>
          <w:sz w:val="22"/>
          <w:szCs w:val="22"/>
        </w:rPr>
        <w:t xml:space="preserve"> and</w:t>
      </w:r>
    </w:p>
    <w:p w:rsidR="00362A58" w:rsidRPr="00362A58" w:rsidRDefault="00362A58" w:rsidP="00362A58">
      <w:pPr>
        <w:pStyle w:val="NoSpacing"/>
        <w:rPr>
          <w:sz w:val="10"/>
        </w:rPr>
      </w:pPr>
    </w:p>
    <w:p w:rsidR="00362A58" w:rsidRPr="00362A58" w:rsidRDefault="00362A58" w:rsidP="00362A58">
      <w:pPr>
        <w:pStyle w:val="Default"/>
        <w:numPr>
          <w:ilvl w:val="0"/>
          <w:numId w:val="11"/>
        </w:numPr>
        <w:spacing w:after="142"/>
        <w:ind w:left="284" w:hanging="284"/>
        <w:jc w:val="both"/>
        <w:rPr>
          <w:sz w:val="22"/>
          <w:szCs w:val="22"/>
        </w:rPr>
      </w:pPr>
      <w:r w:rsidRPr="00362A58">
        <w:rPr>
          <w:sz w:val="22"/>
          <w:szCs w:val="22"/>
        </w:rPr>
        <w:t>Information must be provided for the period ending March 2018</w:t>
      </w:r>
      <w:r>
        <w:rPr>
          <w:sz w:val="22"/>
          <w:szCs w:val="22"/>
        </w:rPr>
        <w:t>.</w:t>
      </w:r>
    </w:p>
    <w:p w:rsidR="000D20CC" w:rsidRDefault="000D20CC" w:rsidP="000D20CC">
      <w:pPr>
        <w:pStyle w:val="NoSpacing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2405D6" w:rsidRPr="00556BBD" w:rsidTr="00ED4600">
        <w:trPr>
          <w:trHeight w:val="567"/>
        </w:trPr>
        <w:tc>
          <w:tcPr>
            <w:tcW w:w="9180" w:type="dxa"/>
            <w:gridSpan w:val="2"/>
            <w:shd w:val="clear" w:color="auto" w:fill="FFE599"/>
            <w:vAlign w:val="center"/>
          </w:tcPr>
          <w:p w:rsidR="002405D6" w:rsidRPr="00556BBD" w:rsidRDefault="002405D6" w:rsidP="00EF4F1F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>Information on responding institution</w:t>
            </w:r>
          </w:p>
        </w:tc>
      </w:tr>
      <w:tr w:rsidR="002405D6" w:rsidRPr="00556BBD" w:rsidTr="00ED4600">
        <w:trPr>
          <w:trHeight w:val="567"/>
        </w:trPr>
        <w:tc>
          <w:tcPr>
            <w:tcW w:w="5070" w:type="dxa"/>
            <w:shd w:val="clear" w:color="auto" w:fill="FFE599"/>
            <w:vAlign w:val="center"/>
          </w:tcPr>
          <w:p w:rsidR="002405D6" w:rsidRPr="00556BBD" w:rsidRDefault="002405D6" w:rsidP="00EF4F1F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>Name of institution</w:t>
            </w:r>
            <w:r w:rsidR="002512D8" w:rsidRPr="00556BBD">
              <w:rPr>
                <w:rFonts w:ascii="Arial" w:hAnsi="Arial" w:cs="Arial"/>
                <w:b/>
                <w:color w:val="000000"/>
              </w:rPr>
              <w:t xml:space="preserve"> (Optional)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405D6" w:rsidRPr="00556BBD" w:rsidRDefault="002405D6" w:rsidP="002405D6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2405D6" w:rsidRPr="00556BBD" w:rsidTr="00ED4600">
        <w:trPr>
          <w:trHeight w:val="567"/>
        </w:trPr>
        <w:tc>
          <w:tcPr>
            <w:tcW w:w="5070" w:type="dxa"/>
            <w:shd w:val="clear" w:color="auto" w:fill="FFE599"/>
            <w:vAlign w:val="center"/>
          </w:tcPr>
          <w:p w:rsidR="002405D6" w:rsidRPr="00556BBD" w:rsidRDefault="002405D6" w:rsidP="002512D8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>Name and position of respondent</w:t>
            </w:r>
            <w:r w:rsidR="0081451C" w:rsidRPr="00556BBD">
              <w:rPr>
                <w:rFonts w:ascii="Arial" w:hAnsi="Arial" w:cs="Arial"/>
                <w:b/>
                <w:color w:val="000000"/>
              </w:rPr>
              <w:t xml:space="preserve"> (Optional)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405D6" w:rsidRPr="00556BBD" w:rsidRDefault="002405D6" w:rsidP="002405D6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2405D6" w:rsidRPr="00556BBD" w:rsidTr="00ED4600">
        <w:trPr>
          <w:trHeight w:val="1215"/>
        </w:trPr>
        <w:tc>
          <w:tcPr>
            <w:tcW w:w="5070" w:type="dxa"/>
            <w:shd w:val="clear" w:color="auto" w:fill="FFE599"/>
            <w:vAlign w:val="center"/>
          </w:tcPr>
          <w:p w:rsidR="005B1940" w:rsidRPr="00556BBD" w:rsidRDefault="005F6C0F" w:rsidP="002512D8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>Type of institution</w:t>
            </w:r>
          </w:p>
          <w:p w:rsidR="002405D6" w:rsidRPr="00556BBD" w:rsidRDefault="00B87DE1" w:rsidP="008905D2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f</w:t>
            </w:r>
            <w:r w:rsidR="005B1940" w:rsidRPr="00556BBD">
              <w:rPr>
                <w:rFonts w:ascii="Arial" w:hAnsi="Arial" w:cs="Arial"/>
                <w:color w:val="000000"/>
              </w:rPr>
              <w:t>or example: bank,</w:t>
            </w:r>
            <w:r w:rsidR="003A4B58">
              <w:rPr>
                <w:rFonts w:ascii="Arial" w:hAnsi="Arial" w:cs="Arial"/>
                <w:color w:val="000000"/>
              </w:rPr>
              <w:t xml:space="preserve"> branch of a foreign institution,</w:t>
            </w:r>
            <w:r w:rsidR="005B1940" w:rsidRPr="00556BBD">
              <w:rPr>
                <w:rFonts w:ascii="Arial" w:hAnsi="Arial" w:cs="Arial"/>
                <w:color w:val="000000"/>
              </w:rPr>
              <w:t xml:space="preserve"> long</w:t>
            </w:r>
            <w:r w:rsidR="00DB69E8" w:rsidRPr="00556BBD">
              <w:rPr>
                <w:rFonts w:ascii="Arial" w:hAnsi="Arial" w:cs="Arial"/>
                <w:color w:val="000000"/>
              </w:rPr>
              <w:t xml:space="preserve">-term or </w:t>
            </w:r>
            <w:r w:rsidR="005B1940" w:rsidRPr="00556BBD">
              <w:rPr>
                <w:rFonts w:ascii="Arial" w:hAnsi="Arial" w:cs="Arial"/>
                <w:color w:val="000000"/>
              </w:rPr>
              <w:t xml:space="preserve">short-term insurance, asset management, </w:t>
            </w:r>
            <w:r w:rsidR="003A4B58">
              <w:rPr>
                <w:rFonts w:ascii="Arial" w:hAnsi="Arial" w:cs="Arial"/>
                <w:color w:val="000000"/>
              </w:rPr>
              <w:t xml:space="preserve">authorised user, </w:t>
            </w:r>
            <w:r w:rsidR="00A679C1" w:rsidRPr="00556BBD">
              <w:rPr>
                <w:rFonts w:ascii="Arial" w:hAnsi="Arial" w:cs="Arial"/>
                <w:color w:val="000000"/>
              </w:rPr>
              <w:t>financial service provider</w:t>
            </w:r>
            <w:r w:rsidR="0082506C">
              <w:rPr>
                <w:rFonts w:ascii="Arial" w:hAnsi="Arial" w:cs="Arial"/>
                <w:color w:val="000000"/>
              </w:rPr>
              <w:t xml:space="preserve"> that deal</w:t>
            </w:r>
            <w:r w:rsidR="008905D2">
              <w:rPr>
                <w:rFonts w:ascii="Arial" w:hAnsi="Arial" w:cs="Arial"/>
                <w:color w:val="000000"/>
              </w:rPr>
              <w:t>s</w:t>
            </w:r>
            <w:r w:rsidR="0082506C">
              <w:rPr>
                <w:rFonts w:ascii="Arial" w:hAnsi="Arial" w:cs="Arial"/>
                <w:color w:val="000000"/>
              </w:rPr>
              <w:t xml:space="preserve"> in derivatives</w:t>
            </w:r>
            <w:r w:rsidR="00A679C1" w:rsidRPr="00556BBD">
              <w:rPr>
                <w:rFonts w:ascii="Arial" w:hAnsi="Arial" w:cs="Arial"/>
                <w:color w:val="000000"/>
              </w:rPr>
              <w:t xml:space="preserve">, </w:t>
            </w:r>
            <w:r w:rsidR="005B1940" w:rsidRPr="00556BBD">
              <w:rPr>
                <w:rFonts w:ascii="Arial" w:hAnsi="Arial" w:cs="Arial"/>
                <w:color w:val="000000"/>
              </w:rPr>
              <w:t xml:space="preserve">etc.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405D6" w:rsidRPr="00556BBD" w:rsidRDefault="002405D6" w:rsidP="002405D6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627109" w:rsidRPr="00556BBD" w:rsidTr="00ED4600">
        <w:trPr>
          <w:trHeight w:val="1119"/>
        </w:trPr>
        <w:tc>
          <w:tcPr>
            <w:tcW w:w="5070" w:type="dxa"/>
            <w:shd w:val="clear" w:color="auto" w:fill="FFE599"/>
            <w:vAlign w:val="center"/>
          </w:tcPr>
          <w:p w:rsidR="00627109" w:rsidRPr="00556BBD" w:rsidRDefault="00627109" w:rsidP="002512D8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>Size of institution</w:t>
            </w:r>
            <w:r w:rsidR="00564554" w:rsidRPr="00556BBD">
              <w:rPr>
                <w:rFonts w:ascii="Arial" w:hAnsi="Arial" w:cs="Arial"/>
                <w:b/>
                <w:color w:val="000000"/>
              </w:rPr>
              <w:t>:</w:t>
            </w:r>
          </w:p>
          <w:p w:rsidR="00627109" w:rsidRPr="00556BBD" w:rsidRDefault="00627109" w:rsidP="002512D8">
            <w:pPr>
              <w:pStyle w:val="NoSpacing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556BBD">
              <w:rPr>
                <w:rFonts w:ascii="Arial" w:hAnsi="Arial" w:cs="Arial"/>
                <w:color w:val="000000"/>
              </w:rPr>
              <w:t xml:space="preserve">please </w:t>
            </w:r>
            <w:r w:rsidR="00564554" w:rsidRPr="00556BBD">
              <w:rPr>
                <w:rFonts w:ascii="Arial" w:hAnsi="Arial" w:cs="Arial"/>
                <w:color w:val="000000"/>
              </w:rPr>
              <w:t xml:space="preserve">state total assets or other </w:t>
            </w:r>
            <w:r w:rsidR="00F04A93" w:rsidRPr="00556BBD">
              <w:rPr>
                <w:rFonts w:ascii="Arial" w:hAnsi="Arial" w:cs="Arial"/>
                <w:color w:val="000000"/>
              </w:rPr>
              <w:t>indicator</w:t>
            </w:r>
            <w:r w:rsidR="00A679C1" w:rsidRPr="00556BBD">
              <w:rPr>
                <w:rFonts w:ascii="Arial" w:hAnsi="Arial" w:cs="Arial"/>
                <w:color w:val="000000"/>
              </w:rPr>
              <w:t xml:space="preserve">(s) that describe </w:t>
            </w:r>
            <w:r w:rsidR="00564554" w:rsidRPr="00556BBD">
              <w:rPr>
                <w:rFonts w:ascii="Arial" w:hAnsi="Arial" w:cs="Arial"/>
                <w:color w:val="000000"/>
              </w:rPr>
              <w:t xml:space="preserve">the size of </w:t>
            </w:r>
            <w:r w:rsidR="00A679C1" w:rsidRPr="00556BBD">
              <w:rPr>
                <w:rFonts w:ascii="Arial" w:hAnsi="Arial" w:cs="Arial"/>
                <w:color w:val="000000"/>
              </w:rPr>
              <w:t>your institution</w:t>
            </w:r>
            <w:r w:rsidR="002512D8" w:rsidRPr="00556BBD">
              <w:rPr>
                <w:rFonts w:ascii="Arial" w:hAnsi="Arial" w:cs="Arial"/>
                <w:color w:val="000000"/>
              </w:rPr>
              <w:t>, total assets, or other indicators (please specify)</w:t>
            </w:r>
            <w:r w:rsidR="00A679C1" w:rsidRPr="00556BB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27109" w:rsidRPr="00556BBD" w:rsidRDefault="00627109" w:rsidP="002405D6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2405D6" w:rsidRPr="00556BBD" w:rsidTr="00ED4600">
        <w:trPr>
          <w:trHeight w:val="838"/>
        </w:trPr>
        <w:tc>
          <w:tcPr>
            <w:tcW w:w="5070" w:type="dxa"/>
            <w:shd w:val="clear" w:color="auto" w:fill="FFE599"/>
            <w:vAlign w:val="center"/>
          </w:tcPr>
          <w:p w:rsidR="002405D6" w:rsidRPr="00556BBD" w:rsidRDefault="002405D6" w:rsidP="002512D8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>Plea</w:t>
            </w:r>
            <w:r w:rsidR="002512D8" w:rsidRPr="00556BBD">
              <w:rPr>
                <w:rFonts w:ascii="Arial" w:hAnsi="Arial" w:cs="Arial"/>
                <w:b/>
                <w:color w:val="000000"/>
              </w:rPr>
              <w:t xml:space="preserve">se state the main supervisor(s) </w:t>
            </w:r>
            <w:r w:rsidRPr="00556BBD">
              <w:rPr>
                <w:rFonts w:ascii="Arial" w:hAnsi="Arial" w:cs="Arial"/>
                <w:b/>
                <w:color w:val="000000"/>
              </w:rPr>
              <w:t>of activities at your institution under financial sector legislation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405D6" w:rsidRPr="00556BBD" w:rsidRDefault="002405D6" w:rsidP="002405D6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405D6" w:rsidRPr="00556BBD" w:rsidRDefault="002405D6" w:rsidP="002405D6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405D6" w:rsidRPr="00556BBD" w:rsidRDefault="002405D6" w:rsidP="002405D6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</w:tbl>
    <w:p w:rsidR="00E311DC" w:rsidRDefault="00E311DC" w:rsidP="00B04164">
      <w:pPr>
        <w:pStyle w:val="NoSpacing"/>
        <w:jc w:val="both"/>
        <w:rPr>
          <w:rFonts w:ascii="Arial" w:hAnsi="Arial" w:cs="Arial"/>
          <w:color w:val="000000"/>
        </w:rPr>
      </w:pPr>
    </w:p>
    <w:p w:rsidR="005F6C0F" w:rsidRPr="00556BBD" w:rsidRDefault="00B032B4" w:rsidP="003A4B58">
      <w:pPr>
        <w:pStyle w:val="NoSpacing"/>
        <w:rPr>
          <w:rFonts w:ascii="Arial" w:hAnsi="Arial" w:cs="Arial"/>
          <w:b/>
          <w:color w:val="000000"/>
        </w:rPr>
      </w:pPr>
      <w:r w:rsidRPr="00556BBD">
        <w:rPr>
          <w:rFonts w:ascii="Arial" w:hAnsi="Arial" w:cs="Arial"/>
          <w:b/>
          <w:color w:val="000000"/>
        </w:rPr>
        <w:t>PART 1: GENERAL</w:t>
      </w:r>
      <w:r w:rsidR="00E05760" w:rsidRPr="00556BBD">
        <w:rPr>
          <w:rFonts w:ascii="Arial" w:hAnsi="Arial" w:cs="Arial"/>
          <w:b/>
          <w:color w:val="000000"/>
        </w:rPr>
        <w:t xml:space="preserve"> QUESTIONS</w:t>
      </w:r>
    </w:p>
    <w:p w:rsidR="00362A58" w:rsidRDefault="00362A58" w:rsidP="00362A58">
      <w:pPr>
        <w:pStyle w:val="NoSpacing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362A58" w:rsidRPr="00556BBD" w:rsidTr="00362A58">
        <w:trPr>
          <w:trHeight w:val="575"/>
        </w:trPr>
        <w:tc>
          <w:tcPr>
            <w:tcW w:w="9016" w:type="dxa"/>
            <w:shd w:val="clear" w:color="auto" w:fill="FFE599"/>
            <w:vAlign w:val="center"/>
          </w:tcPr>
          <w:p w:rsidR="00362A58" w:rsidRPr="0053364F" w:rsidRDefault="00362A58" w:rsidP="007678C0">
            <w:pPr>
              <w:pStyle w:val="NoSpacing"/>
              <w:numPr>
                <w:ilvl w:val="1"/>
                <w:numId w:val="12"/>
              </w:numPr>
              <w:jc w:val="both"/>
              <w:rPr>
                <w:rFonts w:ascii="Arial" w:hAnsi="Arial" w:cs="Arial"/>
                <w:color w:val="000000"/>
              </w:rPr>
            </w:pPr>
            <w:r w:rsidRPr="00362A58">
              <w:rPr>
                <w:rFonts w:ascii="Arial" w:hAnsi="Arial" w:cs="Arial"/>
                <w:b/>
                <w:color w:val="000000"/>
              </w:rPr>
              <w:t xml:space="preserve">Does your institution clear through a foreign central counterparty (CCP) or is your institution an indirect clearing </w:t>
            </w:r>
            <w:r w:rsidR="001A3E37">
              <w:rPr>
                <w:rFonts w:ascii="Arial" w:hAnsi="Arial" w:cs="Arial"/>
                <w:b/>
                <w:color w:val="000000"/>
              </w:rPr>
              <w:t>client</w:t>
            </w:r>
            <w:r w:rsidR="001A3E37" w:rsidRPr="00362A5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62A58">
              <w:rPr>
                <w:rFonts w:ascii="Arial" w:hAnsi="Arial" w:cs="Arial"/>
                <w:b/>
                <w:color w:val="000000"/>
              </w:rPr>
              <w:t xml:space="preserve">of a foreign CCP? </w:t>
            </w:r>
            <w:r w:rsidR="00287615">
              <w:rPr>
                <w:rFonts w:ascii="Arial" w:hAnsi="Arial" w:cs="Arial"/>
                <w:b/>
                <w:color w:val="000000"/>
              </w:rPr>
              <w:t xml:space="preserve">If none of the above, what </w:t>
            </w:r>
            <w:r w:rsidR="00287615" w:rsidRPr="00AA55F4">
              <w:rPr>
                <w:rFonts w:ascii="Arial" w:hAnsi="Arial" w:cs="Arial"/>
                <w:b/>
              </w:rPr>
              <w:t>arrangements/initiatives will be in place to make central clearing possible?</w:t>
            </w:r>
          </w:p>
          <w:p w:rsidR="0053364F" w:rsidRDefault="0053364F" w:rsidP="0053364F">
            <w:pPr>
              <w:pStyle w:val="NoSpacing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62A58" w:rsidRPr="00556BBD" w:rsidRDefault="0053364F" w:rsidP="00287615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Please provide the </w:t>
            </w:r>
            <w:r w:rsidR="00287615">
              <w:rPr>
                <w:rFonts w:ascii="Arial" w:hAnsi="Arial" w:cs="Arial"/>
                <w:color w:val="000000"/>
              </w:rPr>
              <w:t xml:space="preserve">names of the CCPs or clearing members that you clear through. </w:t>
            </w:r>
          </w:p>
        </w:tc>
      </w:tr>
      <w:tr w:rsidR="00362A58" w:rsidRPr="00556BBD" w:rsidTr="00AE7494">
        <w:trPr>
          <w:trHeight w:val="1618"/>
        </w:trPr>
        <w:tc>
          <w:tcPr>
            <w:tcW w:w="9016" w:type="dxa"/>
            <w:shd w:val="clear" w:color="auto" w:fill="auto"/>
          </w:tcPr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53364F" w:rsidRDefault="0053364F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:rsidR="00C73AE5" w:rsidRPr="00F245F7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62A58" w:rsidRPr="00556BBD" w:rsidTr="00362A58">
        <w:trPr>
          <w:trHeight w:val="26"/>
        </w:trPr>
        <w:tc>
          <w:tcPr>
            <w:tcW w:w="9016" w:type="dxa"/>
            <w:shd w:val="clear" w:color="auto" w:fill="FFE599"/>
            <w:vAlign w:val="center"/>
          </w:tcPr>
          <w:p w:rsidR="00362A58" w:rsidRPr="00362A58" w:rsidRDefault="00362A58" w:rsidP="00362A58">
            <w:pPr>
              <w:pStyle w:val="NoSpacing"/>
              <w:numPr>
                <w:ilvl w:val="1"/>
                <w:numId w:val="12"/>
              </w:numPr>
              <w:jc w:val="both"/>
              <w:rPr>
                <w:rFonts w:ascii="Arial" w:hAnsi="Arial" w:cs="Arial"/>
                <w:b/>
                <w:color w:val="000000"/>
              </w:rPr>
            </w:pPr>
            <w:r w:rsidRPr="00362A58">
              <w:rPr>
                <w:rFonts w:ascii="Arial" w:hAnsi="Arial" w:cs="Arial"/>
                <w:b/>
                <w:color w:val="000000"/>
              </w:rPr>
              <w:lastRenderedPageBreak/>
              <w:t xml:space="preserve">If the answer to question 1.1. </w:t>
            </w:r>
            <w:r>
              <w:rPr>
                <w:rFonts w:ascii="Arial" w:hAnsi="Arial" w:cs="Arial"/>
                <w:b/>
                <w:color w:val="000000"/>
              </w:rPr>
              <w:t xml:space="preserve">above </w:t>
            </w:r>
            <w:r w:rsidRPr="00362A58">
              <w:rPr>
                <w:rFonts w:ascii="Arial" w:hAnsi="Arial" w:cs="Arial"/>
                <w:b/>
                <w:color w:val="000000"/>
              </w:rPr>
              <w:t>is in the affirmative, please specify the size of the difference between centrally cleared OTC derivative transactions and non-centrally cleared OTC derivative transactions (please indicate the breakdown between asset classes)</w:t>
            </w: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362A58" w:rsidRPr="00556BBD" w:rsidRDefault="00362A58" w:rsidP="00287615">
            <w:pPr>
              <w:pStyle w:val="NoSpacing"/>
              <w:tabs>
                <w:tab w:val="left" w:pos="275"/>
              </w:tabs>
              <w:ind w:left="360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Please provide the breakdown of each sub-category (equity, interest-rate, foreign exchange, credit</w:t>
            </w:r>
            <w:r w:rsidR="0055510F">
              <w:rPr>
                <w:rFonts w:ascii="Arial" w:hAnsi="Arial" w:cs="Arial"/>
                <w:color w:val="000000"/>
              </w:rPr>
              <w:t>,</w:t>
            </w:r>
            <w:r w:rsidR="00287615">
              <w:rPr>
                <w:rFonts w:ascii="Arial" w:hAnsi="Arial" w:cs="Arial"/>
                <w:color w:val="000000"/>
              </w:rPr>
              <w:t xml:space="preserve"> </w:t>
            </w:r>
            <w:r w:rsidR="0055510F">
              <w:rPr>
                <w:rFonts w:ascii="Arial" w:hAnsi="Arial" w:cs="Arial"/>
                <w:color w:val="000000"/>
              </w:rPr>
              <w:t>commodities</w:t>
            </w:r>
            <w:r w:rsidRPr="00556BBD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62A58" w:rsidRPr="00556BBD" w:rsidTr="00D046EE">
        <w:trPr>
          <w:trHeight w:val="1295"/>
        </w:trPr>
        <w:tc>
          <w:tcPr>
            <w:tcW w:w="9016" w:type="dxa"/>
            <w:shd w:val="clear" w:color="auto" w:fill="auto"/>
          </w:tcPr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2F7A34" w:rsidRDefault="002F7A3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F7A34" w:rsidRDefault="002F7A3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F7A34" w:rsidRDefault="002F7A3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F7A34" w:rsidRDefault="002F7A3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Default="00C73AE5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Default="00C73AE5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Default="00C73AE5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F7A34" w:rsidRPr="00556BBD" w:rsidRDefault="002F7A3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1467A7" w:rsidRPr="00556BBD" w:rsidTr="00054802">
        <w:trPr>
          <w:trHeight w:val="1489"/>
        </w:trPr>
        <w:tc>
          <w:tcPr>
            <w:tcW w:w="9016" w:type="dxa"/>
            <w:shd w:val="clear" w:color="auto" w:fill="FFE599"/>
            <w:vAlign w:val="center"/>
          </w:tcPr>
          <w:p w:rsidR="000D5C2F" w:rsidRDefault="00287615" w:rsidP="00362A58">
            <w:pPr>
              <w:pStyle w:val="NoSpacing"/>
              <w:numPr>
                <w:ilvl w:val="1"/>
                <w:numId w:val="12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</w:t>
            </w:r>
            <w:r w:rsidR="00755958" w:rsidRPr="00556BBD">
              <w:rPr>
                <w:rFonts w:ascii="Arial" w:hAnsi="Arial" w:cs="Arial"/>
                <w:b/>
                <w:color w:val="000000"/>
              </w:rPr>
              <w:t xml:space="preserve">hat </w:t>
            </w:r>
            <w:r w:rsidR="00427154" w:rsidRPr="00556BBD">
              <w:rPr>
                <w:rFonts w:ascii="Arial" w:hAnsi="Arial" w:cs="Arial"/>
                <w:b/>
                <w:color w:val="000000"/>
              </w:rPr>
              <w:t xml:space="preserve">is the </w:t>
            </w:r>
            <w:r w:rsidR="00C232DE" w:rsidRPr="00556BBD">
              <w:rPr>
                <w:rFonts w:ascii="Arial" w:hAnsi="Arial" w:cs="Arial"/>
                <w:b/>
                <w:color w:val="000000"/>
              </w:rPr>
              <w:t xml:space="preserve">size </w:t>
            </w:r>
            <w:r w:rsidR="00427154" w:rsidRPr="00556BBD">
              <w:rPr>
                <w:rFonts w:ascii="Arial" w:hAnsi="Arial" w:cs="Arial"/>
                <w:b/>
                <w:color w:val="000000"/>
              </w:rPr>
              <w:t xml:space="preserve">of </w:t>
            </w:r>
            <w:r w:rsidR="00C232DE" w:rsidRPr="00556BBD">
              <w:rPr>
                <w:rFonts w:ascii="Arial" w:hAnsi="Arial" w:cs="Arial"/>
                <w:b/>
                <w:color w:val="000000"/>
              </w:rPr>
              <w:t xml:space="preserve">your institution’s outstanding gross </w:t>
            </w:r>
            <w:r w:rsidR="00427154" w:rsidRPr="00556BBD">
              <w:rPr>
                <w:rFonts w:ascii="Arial" w:hAnsi="Arial" w:cs="Arial"/>
                <w:b/>
                <w:color w:val="000000"/>
              </w:rPr>
              <w:t xml:space="preserve">non-centrally cleared OTC Derivatives </w:t>
            </w:r>
            <w:r w:rsidR="00C232DE" w:rsidRPr="00556BBD">
              <w:rPr>
                <w:rFonts w:ascii="Arial" w:hAnsi="Arial" w:cs="Arial"/>
                <w:b/>
                <w:color w:val="000000"/>
              </w:rPr>
              <w:t>contracts</w:t>
            </w:r>
            <w:r w:rsidR="00427154" w:rsidRPr="00556BBD">
              <w:rPr>
                <w:rFonts w:ascii="Arial" w:hAnsi="Arial" w:cs="Arial"/>
                <w:b/>
                <w:color w:val="000000"/>
              </w:rPr>
              <w:t>?</w:t>
            </w:r>
          </w:p>
          <w:p w:rsidR="00427154" w:rsidRPr="00556BBD" w:rsidRDefault="00427154" w:rsidP="00427154">
            <w:pPr>
              <w:pStyle w:val="NoSpacing"/>
              <w:tabs>
                <w:tab w:val="left" w:pos="275"/>
              </w:tabs>
              <w:ind w:left="360"/>
              <w:rPr>
                <w:rFonts w:ascii="Arial" w:hAnsi="Arial" w:cs="Arial"/>
                <w:color w:val="000000"/>
              </w:rPr>
            </w:pPr>
          </w:p>
          <w:p w:rsidR="001A3E37" w:rsidRPr="0053364F" w:rsidRDefault="00427154" w:rsidP="00287615">
            <w:pPr>
              <w:pStyle w:val="NoSpacing"/>
              <w:tabs>
                <w:tab w:val="left" w:pos="275"/>
              </w:tabs>
              <w:ind w:left="360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Please provide the breakdown of each sub-category</w:t>
            </w:r>
            <w:r w:rsidR="00F928F2" w:rsidRPr="00556BBD">
              <w:rPr>
                <w:rFonts w:ascii="Arial" w:hAnsi="Arial" w:cs="Arial"/>
                <w:color w:val="000000"/>
              </w:rPr>
              <w:t xml:space="preserve"> (equity, interest-rate, foreign exchange, credit</w:t>
            </w:r>
            <w:r w:rsidR="001A3E37">
              <w:rPr>
                <w:rFonts w:ascii="Arial" w:hAnsi="Arial" w:cs="Arial"/>
                <w:color w:val="000000"/>
              </w:rPr>
              <w:t>, commodities</w:t>
            </w:r>
            <w:r w:rsidR="00F928F2" w:rsidRPr="00556BBD">
              <w:rPr>
                <w:rFonts w:ascii="Arial" w:hAnsi="Arial" w:cs="Arial"/>
                <w:color w:val="000000"/>
              </w:rPr>
              <w:t>)</w:t>
            </w:r>
            <w:r w:rsidR="00D723C0">
              <w:rPr>
                <w:rFonts w:ascii="Arial" w:hAnsi="Arial" w:cs="Arial"/>
                <w:color w:val="000000"/>
              </w:rPr>
              <w:t xml:space="preserve"> and split by </w:t>
            </w:r>
            <w:r w:rsidR="001A3E37">
              <w:rPr>
                <w:rFonts w:ascii="Arial" w:hAnsi="Arial" w:cs="Arial"/>
                <w:color w:val="000000"/>
              </w:rPr>
              <w:t>domestic and foreign counterparties</w:t>
            </w:r>
            <w:r w:rsidR="00D723C0">
              <w:rPr>
                <w:rFonts w:ascii="Arial" w:hAnsi="Arial" w:cs="Arial"/>
                <w:color w:val="000000"/>
              </w:rPr>
              <w:t xml:space="preserve">. </w:t>
            </w:r>
          </w:p>
          <w:p w:rsidR="001A3E37" w:rsidRPr="00556BBD" w:rsidRDefault="001A3E37" w:rsidP="00427154">
            <w:pPr>
              <w:pStyle w:val="NoSpacing"/>
              <w:tabs>
                <w:tab w:val="left" w:pos="275"/>
              </w:tabs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7A4BA9" w:rsidRPr="00556BBD" w:rsidTr="00D046EE">
        <w:trPr>
          <w:trHeight w:val="2083"/>
        </w:trPr>
        <w:tc>
          <w:tcPr>
            <w:tcW w:w="9016" w:type="dxa"/>
            <w:shd w:val="clear" w:color="auto" w:fill="auto"/>
          </w:tcPr>
          <w:p w:rsidR="007A4BA9" w:rsidRDefault="0081451C" w:rsidP="00314C02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C73AE5" w:rsidRDefault="00C73AE5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Default="00C73AE5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Default="00C73AE5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Default="00C73AE5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Default="00C73AE5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Default="00C73AE5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Default="00C73AE5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73AE5" w:rsidRPr="00556BBD" w:rsidRDefault="00C73AE5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1467A7" w:rsidRPr="00556BBD" w:rsidTr="00054802">
        <w:trPr>
          <w:trHeight w:val="985"/>
        </w:trPr>
        <w:tc>
          <w:tcPr>
            <w:tcW w:w="9016" w:type="dxa"/>
            <w:shd w:val="clear" w:color="auto" w:fill="FFE599"/>
            <w:vAlign w:val="center"/>
          </w:tcPr>
          <w:p w:rsidR="00314C02" w:rsidRDefault="00362A58" w:rsidP="00362A58">
            <w:pPr>
              <w:pStyle w:val="NoSpacing"/>
              <w:numPr>
                <w:ilvl w:val="1"/>
                <w:numId w:val="12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362A58">
              <w:rPr>
                <w:rFonts w:ascii="Arial" w:hAnsi="Arial" w:cs="Arial"/>
                <w:b/>
                <w:color w:val="000000"/>
              </w:rPr>
              <w:t>Does the institution currently exchange initial margin and variation margin for non-centrally cleared OTC derivative transactions?</w:t>
            </w:r>
          </w:p>
          <w:p w:rsidR="00362A58" w:rsidRDefault="00362A58" w:rsidP="00362A58">
            <w:pPr>
              <w:pStyle w:val="NoSpacing"/>
              <w:tabs>
                <w:tab w:val="left" w:pos="275"/>
              </w:tabs>
              <w:ind w:left="360"/>
              <w:rPr>
                <w:rFonts w:ascii="Arial" w:hAnsi="Arial" w:cs="Arial"/>
                <w:b/>
                <w:color w:val="000000"/>
              </w:rPr>
            </w:pPr>
          </w:p>
          <w:p w:rsidR="00054802" w:rsidRPr="007678C0" w:rsidRDefault="00054802" w:rsidP="00054802">
            <w:pPr>
              <w:pStyle w:val="NoSpacing"/>
              <w:tabs>
                <w:tab w:val="left" w:pos="275"/>
              </w:tabs>
              <w:ind w:left="360"/>
              <w:rPr>
                <w:rFonts w:ascii="Arial" w:hAnsi="Arial" w:cs="Arial"/>
                <w:color w:val="000000"/>
                <w:lang w:val="en-US" w:eastAsia="en-ZA"/>
              </w:rPr>
            </w:pPr>
            <w:r w:rsidRPr="007678C0">
              <w:rPr>
                <w:rFonts w:ascii="Arial" w:hAnsi="Arial" w:cs="Arial"/>
                <w:color w:val="000000"/>
                <w:lang w:val="en-US"/>
              </w:rPr>
              <w:t>Please provide details of the models used to calculate the margins e.g. standardized models</w:t>
            </w:r>
            <w:r w:rsidR="001109E3">
              <w:rPr>
                <w:rFonts w:ascii="Arial" w:hAnsi="Arial" w:cs="Arial"/>
                <w:color w:val="000000"/>
                <w:lang w:val="en-US"/>
              </w:rPr>
              <w:t>,</w:t>
            </w:r>
            <w:r w:rsidR="0028761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1B2F1E">
              <w:rPr>
                <w:rFonts w:ascii="Arial" w:hAnsi="Arial" w:cs="Arial"/>
                <w:color w:val="000000"/>
                <w:lang w:val="en-US"/>
              </w:rPr>
              <w:t>International Swaps and Derivatives Association Standard Initial Margin Model (</w:t>
            </w:r>
            <w:r w:rsidRPr="007678C0">
              <w:rPr>
                <w:rFonts w:ascii="Arial" w:hAnsi="Arial" w:cs="Arial"/>
                <w:color w:val="000000"/>
                <w:lang w:val="en-US"/>
              </w:rPr>
              <w:t>ISDA SIMM</w:t>
            </w:r>
            <w:r w:rsidR="001B2F1E">
              <w:rPr>
                <w:rFonts w:ascii="Arial" w:hAnsi="Arial" w:cs="Arial"/>
                <w:color w:val="000000"/>
                <w:lang w:val="en-US"/>
              </w:rPr>
              <w:t>)</w:t>
            </w:r>
            <w:r w:rsidR="001109E3">
              <w:rPr>
                <w:rFonts w:ascii="Arial" w:hAnsi="Arial" w:cs="Arial"/>
                <w:color w:val="000000"/>
                <w:lang w:val="en-US"/>
              </w:rPr>
              <w:t xml:space="preserve"> or </w:t>
            </w:r>
            <w:r w:rsidRPr="007678C0">
              <w:rPr>
                <w:rFonts w:ascii="Arial" w:hAnsi="Arial" w:cs="Arial"/>
                <w:color w:val="000000"/>
                <w:lang w:val="en-US"/>
              </w:rPr>
              <w:t>quantitative portfolio</w:t>
            </w:r>
            <w:r w:rsidR="001109E3">
              <w:rPr>
                <w:rFonts w:ascii="Arial" w:hAnsi="Arial" w:cs="Arial"/>
                <w:color w:val="000000"/>
                <w:lang w:val="en-US"/>
              </w:rPr>
              <w:t xml:space="preserve"> model</w:t>
            </w:r>
          </w:p>
        </w:tc>
      </w:tr>
      <w:tr w:rsidR="00D7365B" w:rsidRPr="00556BBD" w:rsidTr="009E5506">
        <w:trPr>
          <w:trHeight w:val="1459"/>
        </w:trPr>
        <w:tc>
          <w:tcPr>
            <w:tcW w:w="9016" w:type="dxa"/>
            <w:shd w:val="clear" w:color="auto" w:fill="auto"/>
          </w:tcPr>
          <w:p w:rsidR="00314C02" w:rsidRDefault="0081451C" w:rsidP="00314C02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CA319E" w:rsidRDefault="00CA319E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Default="00CA319E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Default="00CA319E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Default="00CA319E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Default="00CA319E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Default="00CA319E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Pr="00556BBD" w:rsidRDefault="00CA319E" w:rsidP="00314C02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1467A7" w:rsidRPr="00556BBD" w:rsidTr="00ED4600">
        <w:trPr>
          <w:trHeight w:val="726"/>
        </w:trPr>
        <w:tc>
          <w:tcPr>
            <w:tcW w:w="9016" w:type="dxa"/>
            <w:shd w:val="clear" w:color="auto" w:fill="FFE599"/>
            <w:vAlign w:val="center"/>
          </w:tcPr>
          <w:p w:rsidR="00D86D11" w:rsidRPr="00556BBD" w:rsidRDefault="00D86D11" w:rsidP="00362A58">
            <w:pPr>
              <w:pStyle w:val="NoSpacing"/>
              <w:numPr>
                <w:ilvl w:val="1"/>
                <w:numId w:val="12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 xml:space="preserve">What existing collateral is </w:t>
            </w:r>
            <w:r w:rsidR="00825D58">
              <w:rPr>
                <w:rFonts w:ascii="Arial" w:hAnsi="Arial" w:cs="Arial"/>
                <w:b/>
                <w:color w:val="000000"/>
              </w:rPr>
              <w:t xml:space="preserve">exchanged (posted or received) </w:t>
            </w:r>
            <w:r w:rsidRPr="00556BBD">
              <w:rPr>
                <w:rFonts w:ascii="Arial" w:hAnsi="Arial" w:cs="Arial"/>
                <w:b/>
                <w:color w:val="000000"/>
              </w:rPr>
              <w:t xml:space="preserve">in respect of non-centrally cleared </w:t>
            </w:r>
            <w:r w:rsidR="00825D58">
              <w:rPr>
                <w:rFonts w:ascii="Arial" w:hAnsi="Arial" w:cs="Arial"/>
                <w:b/>
                <w:color w:val="000000"/>
              </w:rPr>
              <w:t xml:space="preserve">OTC </w:t>
            </w:r>
            <w:r w:rsidRPr="00556BBD">
              <w:rPr>
                <w:rFonts w:ascii="Arial" w:hAnsi="Arial" w:cs="Arial"/>
                <w:b/>
                <w:color w:val="000000"/>
              </w:rPr>
              <w:t>derivative</w:t>
            </w:r>
            <w:r w:rsidR="00825D58">
              <w:rPr>
                <w:rFonts w:ascii="Arial" w:hAnsi="Arial" w:cs="Arial"/>
                <w:b/>
                <w:color w:val="000000"/>
              </w:rPr>
              <w:t xml:space="preserve"> transactions</w:t>
            </w:r>
            <w:r w:rsidRPr="00556BBD">
              <w:rPr>
                <w:rFonts w:ascii="Arial" w:hAnsi="Arial" w:cs="Arial"/>
                <w:b/>
                <w:color w:val="000000"/>
              </w:rPr>
              <w:t>?</w:t>
            </w:r>
          </w:p>
        </w:tc>
      </w:tr>
      <w:tr w:rsidR="001467A7" w:rsidRPr="00556BBD" w:rsidTr="009E5506">
        <w:trPr>
          <w:trHeight w:val="1607"/>
        </w:trPr>
        <w:tc>
          <w:tcPr>
            <w:tcW w:w="9016" w:type="dxa"/>
            <w:shd w:val="clear" w:color="auto" w:fill="auto"/>
          </w:tcPr>
          <w:p w:rsidR="00D86D11" w:rsidRDefault="00D86D11" w:rsidP="00556BBD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CA319E" w:rsidRDefault="00CA319E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Default="00CA319E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Default="00CA319E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Default="00CA319E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CA319E" w:rsidRDefault="00CA319E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Pr="00556BBD" w:rsidRDefault="00AE7494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362A58" w:rsidRPr="00556BBD" w:rsidTr="007678C0">
        <w:trPr>
          <w:trHeight w:val="726"/>
        </w:trPr>
        <w:tc>
          <w:tcPr>
            <w:tcW w:w="9016" w:type="dxa"/>
            <w:shd w:val="clear" w:color="auto" w:fill="FFE599"/>
            <w:vAlign w:val="center"/>
          </w:tcPr>
          <w:p w:rsidR="00362A58" w:rsidRPr="00362A58" w:rsidRDefault="00362A58" w:rsidP="007678C0">
            <w:pPr>
              <w:pStyle w:val="NoSpacing"/>
              <w:numPr>
                <w:ilvl w:val="1"/>
                <w:numId w:val="12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362A58">
              <w:rPr>
                <w:rFonts w:ascii="Arial" w:hAnsi="Arial" w:cs="Arial"/>
                <w:b/>
                <w:color w:val="000000"/>
              </w:rPr>
              <w:t>Does the collateral currently exchanged vary from the list of eligible collateral as identified in the draft Margin Requirements as published for public comment by the FSB during August 2017?</w:t>
            </w:r>
          </w:p>
        </w:tc>
      </w:tr>
      <w:tr w:rsidR="00362A58" w:rsidRPr="00556BBD" w:rsidTr="00D046EE">
        <w:trPr>
          <w:trHeight w:val="1567"/>
        </w:trPr>
        <w:tc>
          <w:tcPr>
            <w:tcW w:w="9016" w:type="dxa"/>
            <w:shd w:val="clear" w:color="auto" w:fill="auto"/>
          </w:tcPr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1467A7" w:rsidRPr="00556BBD" w:rsidTr="00ED4600">
        <w:trPr>
          <w:trHeight w:val="726"/>
        </w:trPr>
        <w:tc>
          <w:tcPr>
            <w:tcW w:w="9016" w:type="dxa"/>
            <w:shd w:val="clear" w:color="auto" w:fill="FFE599"/>
            <w:vAlign w:val="center"/>
          </w:tcPr>
          <w:p w:rsidR="00D86D11" w:rsidRPr="00556BBD" w:rsidRDefault="00D86D11" w:rsidP="00362A58">
            <w:pPr>
              <w:pStyle w:val="NoSpacing"/>
              <w:numPr>
                <w:ilvl w:val="1"/>
                <w:numId w:val="12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 xml:space="preserve">Please indicate whether the collateral was in respect of initial or variation margin, the value before and after haircuts. </w:t>
            </w:r>
          </w:p>
        </w:tc>
      </w:tr>
      <w:tr w:rsidR="001467A7" w:rsidRPr="00556BBD" w:rsidTr="00D046EE">
        <w:trPr>
          <w:trHeight w:val="1919"/>
        </w:trPr>
        <w:tc>
          <w:tcPr>
            <w:tcW w:w="9016" w:type="dxa"/>
            <w:shd w:val="clear" w:color="auto" w:fill="auto"/>
          </w:tcPr>
          <w:p w:rsidR="00D86D11" w:rsidRPr="00556BBD" w:rsidRDefault="00D86D11" w:rsidP="00556BBD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</w:tc>
      </w:tr>
      <w:tr w:rsidR="001467A7" w:rsidRPr="00556BBD" w:rsidTr="00ED4600">
        <w:trPr>
          <w:trHeight w:val="575"/>
        </w:trPr>
        <w:tc>
          <w:tcPr>
            <w:tcW w:w="9016" w:type="dxa"/>
            <w:shd w:val="clear" w:color="auto" w:fill="FFE599"/>
            <w:vAlign w:val="center"/>
          </w:tcPr>
          <w:p w:rsidR="001467A7" w:rsidRPr="00362A58" w:rsidRDefault="00C529D8" w:rsidP="00362A58">
            <w:pPr>
              <w:pStyle w:val="NoSpacing"/>
              <w:numPr>
                <w:ilvl w:val="1"/>
                <w:numId w:val="12"/>
              </w:numPr>
              <w:tabs>
                <w:tab w:val="left" w:pos="275"/>
              </w:tabs>
              <w:rPr>
                <w:rFonts w:ascii="Arial" w:hAnsi="Arial" w:cs="Arial"/>
                <w:b/>
              </w:rPr>
            </w:pPr>
            <w:r w:rsidRPr="00362A58">
              <w:rPr>
                <w:rFonts w:ascii="Arial" w:hAnsi="Arial" w:cs="Arial"/>
                <w:b/>
                <w:color w:val="000000"/>
              </w:rPr>
              <w:t>Please</w:t>
            </w:r>
            <w:r w:rsidRPr="00C529D8">
              <w:rPr>
                <w:rFonts w:ascii="Arial" w:hAnsi="Arial" w:cs="Arial"/>
                <w:b/>
              </w:rPr>
              <w:t xml:space="preserve"> indicate the value of collateral that was re-hypothecated and how many times </w:t>
            </w:r>
            <w:r w:rsidR="007D4C5D">
              <w:rPr>
                <w:rFonts w:ascii="Arial" w:hAnsi="Arial" w:cs="Arial"/>
                <w:b/>
              </w:rPr>
              <w:t xml:space="preserve">the </w:t>
            </w:r>
            <w:r w:rsidRPr="00C529D8">
              <w:rPr>
                <w:rFonts w:ascii="Arial" w:hAnsi="Arial" w:cs="Arial"/>
                <w:b/>
              </w:rPr>
              <w:t>collateral is hypothecated?</w:t>
            </w:r>
          </w:p>
        </w:tc>
      </w:tr>
      <w:tr w:rsidR="001467A7" w:rsidRPr="00556BBD" w:rsidTr="00D046EE">
        <w:trPr>
          <w:trHeight w:val="1760"/>
        </w:trPr>
        <w:tc>
          <w:tcPr>
            <w:tcW w:w="9016" w:type="dxa"/>
            <w:shd w:val="clear" w:color="auto" w:fill="auto"/>
          </w:tcPr>
          <w:p w:rsidR="001467A7" w:rsidRDefault="001467A7" w:rsidP="00556BBD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2F7A34" w:rsidRDefault="002F7A34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F7A34" w:rsidRDefault="002F7A34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F7A34" w:rsidRDefault="002F7A34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F7A34" w:rsidRDefault="002F7A34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F7A34" w:rsidRDefault="002F7A34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2F7A34" w:rsidRPr="00556BBD" w:rsidRDefault="002F7A34" w:rsidP="00556BBD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362A58" w:rsidRPr="00556BBD" w:rsidTr="007678C0">
        <w:trPr>
          <w:trHeight w:val="575"/>
        </w:trPr>
        <w:tc>
          <w:tcPr>
            <w:tcW w:w="9016" w:type="dxa"/>
            <w:shd w:val="clear" w:color="auto" w:fill="FFE599"/>
            <w:vAlign w:val="center"/>
          </w:tcPr>
          <w:p w:rsidR="00362A58" w:rsidRPr="00362A58" w:rsidRDefault="00362A58" w:rsidP="007678C0">
            <w:pPr>
              <w:pStyle w:val="NoSpacing"/>
              <w:numPr>
                <w:ilvl w:val="1"/>
                <w:numId w:val="12"/>
              </w:numPr>
              <w:tabs>
                <w:tab w:val="left" w:pos="27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Please indicate whether the collateral is segregated from the institution’s proprietary assets or whether the institution requires the collateral to be segregated from the proprietary assets of a third party custodian?</w:t>
            </w:r>
          </w:p>
        </w:tc>
      </w:tr>
      <w:tr w:rsidR="00362A58" w:rsidRPr="00556BBD" w:rsidTr="00D046EE">
        <w:trPr>
          <w:trHeight w:val="1821"/>
        </w:trPr>
        <w:tc>
          <w:tcPr>
            <w:tcW w:w="9016" w:type="dxa"/>
            <w:shd w:val="clear" w:color="auto" w:fill="auto"/>
          </w:tcPr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Pr="00556BBD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362A58" w:rsidRPr="00556BBD" w:rsidTr="007678C0">
        <w:trPr>
          <w:trHeight w:val="575"/>
        </w:trPr>
        <w:tc>
          <w:tcPr>
            <w:tcW w:w="9016" w:type="dxa"/>
            <w:shd w:val="clear" w:color="auto" w:fill="FFE599"/>
            <w:vAlign w:val="center"/>
          </w:tcPr>
          <w:p w:rsidR="00362A58" w:rsidRPr="00362A58" w:rsidRDefault="00362A58" w:rsidP="007678C0">
            <w:pPr>
              <w:pStyle w:val="NoSpacing"/>
              <w:numPr>
                <w:ilvl w:val="1"/>
                <w:numId w:val="12"/>
              </w:numPr>
              <w:tabs>
                <w:tab w:val="left" w:pos="275"/>
              </w:tabs>
              <w:rPr>
                <w:rFonts w:ascii="Arial" w:hAnsi="Arial" w:cs="Arial"/>
                <w:b/>
              </w:rPr>
            </w:pPr>
            <w:r w:rsidRPr="00362A58">
              <w:rPr>
                <w:rFonts w:ascii="Arial" w:hAnsi="Arial" w:cs="Arial"/>
                <w:b/>
                <w:color w:val="000000"/>
              </w:rPr>
              <w:t xml:space="preserve">Please indicate whether the collateral is held </w:t>
            </w:r>
            <w:r w:rsidR="00EF4F1F">
              <w:rPr>
                <w:rFonts w:ascii="Arial" w:hAnsi="Arial" w:cs="Arial"/>
                <w:b/>
                <w:color w:val="000000"/>
              </w:rPr>
              <w:t xml:space="preserve">on or </w:t>
            </w:r>
            <w:r w:rsidRPr="00362A58">
              <w:rPr>
                <w:rFonts w:ascii="Arial" w:hAnsi="Arial" w:cs="Arial"/>
                <w:b/>
                <w:color w:val="000000"/>
              </w:rPr>
              <w:t>off-shore?</w:t>
            </w:r>
          </w:p>
        </w:tc>
      </w:tr>
      <w:tr w:rsidR="00362A58" w:rsidRPr="00556BBD" w:rsidTr="00D046EE">
        <w:trPr>
          <w:trHeight w:val="1941"/>
        </w:trPr>
        <w:tc>
          <w:tcPr>
            <w:tcW w:w="9016" w:type="dxa"/>
            <w:shd w:val="clear" w:color="auto" w:fill="auto"/>
          </w:tcPr>
          <w:p w:rsidR="00362A58" w:rsidRDefault="00362A58" w:rsidP="007678C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AE7494" w:rsidRPr="00556BBD" w:rsidRDefault="00AE749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1C59F5" w:rsidRPr="00556BBD" w:rsidTr="007678C0">
        <w:trPr>
          <w:trHeight w:val="726"/>
        </w:trPr>
        <w:tc>
          <w:tcPr>
            <w:tcW w:w="9016" w:type="dxa"/>
            <w:shd w:val="clear" w:color="auto" w:fill="FFE599"/>
            <w:vAlign w:val="center"/>
          </w:tcPr>
          <w:p w:rsidR="001C59F5" w:rsidRPr="007678C0" w:rsidRDefault="001C59F5" w:rsidP="001C59F5">
            <w:pPr>
              <w:pStyle w:val="NoSpacing"/>
              <w:numPr>
                <w:ilvl w:val="1"/>
                <w:numId w:val="12"/>
              </w:numPr>
              <w:tabs>
                <w:tab w:val="left" w:pos="567"/>
              </w:tabs>
              <w:rPr>
                <w:rFonts w:ascii="Arial" w:hAnsi="Arial" w:cs="Arial"/>
                <w:b/>
                <w:color w:val="000000"/>
                <w:lang w:val="en-US" w:eastAsia="en-ZA"/>
              </w:rPr>
            </w:pPr>
            <w:r w:rsidRPr="007678C0">
              <w:rPr>
                <w:rFonts w:ascii="Arial" w:hAnsi="Arial" w:cs="Arial"/>
                <w:b/>
                <w:color w:val="000000"/>
                <w:lang w:val="en-US"/>
              </w:rPr>
              <w:t xml:space="preserve">Please indicate if the institution is ready to implement margin requirements. If not, what is the institution doing to meet the proposed margin requirements? </w:t>
            </w:r>
          </w:p>
        </w:tc>
      </w:tr>
      <w:tr w:rsidR="001C59F5" w:rsidRPr="00556BBD" w:rsidTr="007678C0">
        <w:trPr>
          <w:trHeight w:val="2035"/>
        </w:trPr>
        <w:tc>
          <w:tcPr>
            <w:tcW w:w="9016" w:type="dxa"/>
            <w:shd w:val="clear" w:color="auto" w:fill="auto"/>
          </w:tcPr>
          <w:p w:rsidR="001C59F5" w:rsidRDefault="001C59F5" w:rsidP="007678C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1C59F5" w:rsidRDefault="001C59F5" w:rsidP="007678C0">
            <w:pPr>
              <w:tabs>
                <w:tab w:val="left" w:pos="1042"/>
              </w:tabs>
            </w:pPr>
          </w:p>
          <w:p w:rsidR="001C59F5" w:rsidRDefault="001C59F5" w:rsidP="007678C0">
            <w:pPr>
              <w:pStyle w:val="ListParagraph"/>
              <w:widowControl/>
              <w:ind w:left="0"/>
            </w:pPr>
          </w:p>
          <w:p w:rsidR="002F7A34" w:rsidRDefault="002F7A34" w:rsidP="007678C0">
            <w:pPr>
              <w:pStyle w:val="ListParagraph"/>
              <w:widowControl/>
              <w:ind w:left="0"/>
            </w:pPr>
          </w:p>
          <w:p w:rsidR="002F7A34" w:rsidRDefault="002F7A34" w:rsidP="007678C0">
            <w:pPr>
              <w:pStyle w:val="ListParagraph"/>
              <w:widowControl/>
              <w:ind w:left="0"/>
            </w:pPr>
          </w:p>
          <w:p w:rsidR="002F7A34" w:rsidRDefault="002F7A34" w:rsidP="007678C0">
            <w:pPr>
              <w:pStyle w:val="ListParagraph"/>
              <w:widowControl/>
              <w:ind w:left="0"/>
            </w:pPr>
          </w:p>
          <w:p w:rsidR="002F7A34" w:rsidRDefault="002F7A34" w:rsidP="007678C0">
            <w:pPr>
              <w:pStyle w:val="ListParagraph"/>
              <w:widowControl/>
              <w:ind w:left="0"/>
            </w:pPr>
          </w:p>
          <w:p w:rsidR="002F7A34" w:rsidRDefault="002F7A34" w:rsidP="007678C0">
            <w:pPr>
              <w:pStyle w:val="ListParagraph"/>
              <w:widowControl/>
              <w:ind w:left="0"/>
            </w:pPr>
          </w:p>
          <w:p w:rsidR="002F7A34" w:rsidRDefault="002F7A34" w:rsidP="007678C0">
            <w:pPr>
              <w:pStyle w:val="ListParagraph"/>
              <w:widowControl/>
              <w:ind w:left="0"/>
            </w:pPr>
          </w:p>
          <w:p w:rsidR="002F7A34" w:rsidRPr="00D046EE" w:rsidRDefault="002F7A34" w:rsidP="007678C0">
            <w:pPr>
              <w:pStyle w:val="ListParagraph"/>
              <w:widowControl/>
              <w:ind w:left="0"/>
            </w:pPr>
          </w:p>
        </w:tc>
      </w:tr>
      <w:tr w:rsidR="00EF4F1F" w:rsidRPr="00556BBD" w:rsidTr="007678C0">
        <w:trPr>
          <w:trHeight w:val="726"/>
        </w:trPr>
        <w:tc>
          <w:tcPr>
            <w:tcW w:w="9016" w:type="dxa"/>
            <w:shd w:val="clear" w:color="auto" w:fill="FFE599"/>
            <w:vAlign w:val="center"/>
          </w:tcPr>
          <w:p w:rsidR="00EF4F1F" w:rsidRPr="007678C0" w:rsidRDefault="00EF4F1F" w:rsidP="00EF4F1F">
            <w:pPr>
              <w:pStyle w:val="NoSpacing"/>
              <w:numPr>
                <w:ilvl w:val="1"/>
                <w:numId w:val="12"/>
              </w:numPr>
              <w:tabs>
                <w:tab w:val="left" w:pos="567"/>
              </w:tabs>
              <w:rPr>
                <w:rFonts w:ascii="Arial" w:hAnsi="Arial" w:cs="Arial"/>
                <w:b/>
                <w:color w:val="000000"/>
                <w:lang w:val="en-US" w:eastAsia="en-ZA"/>
              </w:rPr>
            </w:pPr>
            <w:r w:rsidRPr="007678C0">
              <w:rPr>
                <w:rFonts w:ascii="Arial" w:hAnsi="Arial" w:cs="Arial"/>
                <w:b/>
                <w:color w:val="000000"/>
              </w:rPr>
              <w:t xml:space="preserve">What </w:t>
            </w:r>
            <w:r w:rsidR="00E32D73">
              <w:rPr>
                <w:rFonts w:ascii="Arial" w:hAnsi="Arial" w:cs="Arial"/>
                <w:b/>
                <w:color w:val="000000"/>
              </w:rPr>
              <w:t>is</w:t>
            </w:r>
            <w:r w:rsidRPr="007678C0">
              <w:rPr>
                <w:rFonts w:ascii="Arial" w:hAnsi="Arial" w:cs="Arial"/>
                <w:b/>
                <w:color w:val="000000"/>
              </w:rPr>
              <w:t xml:space="preserve"> the value </w:t>
            </w:r>
            <w:r w:rsidRPr="007678C0">
              <w:rPr>
                <w:rFonts w:ascii="Arial" w:hAnsi="Arial" w:cs="Arial"/>
                <w:b/>
                <w:color w:val="000000"/>
                <w:lang w:val="en-US"/>
              </w:rPr>
              <w:t>(ZAR)/volume</w:t>
            </w:r>
            <w:r w:rsidR="00E32D73">
              <w:rPr>
                <w:rFonts w:ascii="Arial" w:hAnsi="Arial" w:cs="Arial"/>
                <w:b/>
                <w:color w:val="000000"/>
                <w:lang w:val="en-US"/>
              </w:rPr>
              <w:t xml:space="preserve"> of</w:t>
            </w:r>
            <w:r w:rsidRPr="007678C0">
              <w:rPr>
                <w:rFonts w:ascii="Arial" w:hAnsi="Arial" w:cs="Arial"/>
                <w:b/>
                <w:color w:val="000000"/>
                <w:lang w:val="en-US"/>
              </w:rPr>
              <w:t xml:space="preserve"> intra-group OTC derivatives transactions &amp; aggregate outstanding gross notional in the group per month/day</w:t>
            </w:r>
          </w:p>
        </w:tc>
      </w:tr>
      <w:tr w:rsidR="00EF4F1F" w:rsidRPr="00556BBD" w:rsidTr="007678C0">
        <w:trPr>
          <w:trHeight w:val="2035"/>
        </w:trPr>
        <w:tc>
          <w:tcPr>
            <w:tcW w:w="9016" w:type="dxa"/>
            <w:shd w:val="clear" w:color="auto" w:fill="auto"/>
          </w:tcPr>
          <w:p w:rsidR="00EF4F1F" w:rsidRDefault="00EF4F1F" w:rsidP="007678C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EF4F1F" w:rsidRDefault="00EF4F1F" w:rsidP="007678C0">
            <w:pPr>
              <w:tabs>
                <w:tab w:val="left" w:pos="1042"/>
              </w:tabs>
            </w:pPr>
          </w:p>
          <w:p w:rsidR="002F7A34" w:rsidRDefault="002F7A34" w:rsidP="007678C0">
            <w:pPr>
              <w:tabs>
                <w:tab w:val="left" w:pos="1042"/>
              </w:tabs>
            </w:pPr>
          </w:p>
          <w:p w:rsidR="002F7A34" w:rsidRDefault="002F7A34" w:rsidP="007678C0">
            <w:pPr>
              <w:tabs>
                <w:tab w:val="left" w:pos="1042"/>
              </w:tabs>
            </w:pPr>
          </w:p>
          <w:p w:rsidR="002F7A34" w:rsidRPr="00D046EE" w:rsidRDefault="002F7A34" w:rsidP="007678C0">
            <w:pPr>
              <w:tabs>
                <w:tab w:val="left" w:pos="1042"/>
              </w:tabs>
            </w:pPr>
          </w:p>
        </w:tc>
      </w:tr>
      <w:tr w:rsidR="00383B78" w:rsidRPr="00556BBD" w:rsidTr="007678C0">
        <w:trPr>
          <w:trHeight w:val="726"/>
        </w:trPr>
        <w:tc>
          <w:tcPr>
            <w:tcW w:w="9016" w:type="dxa"/>
            <w:shd w:val="clear" w:color="auto" w:fill="FFE599"/>
            <w:vAlign w:val="center"/>
          </w:tcPr>
          <w:p w:rsidR="00383B78" w:rsidRPr="00383B78" w:rsidRDefault="00383B78" w:rsidP="00383B78">
            <w:pPr>
              <w:pStyle w:val="NoSpacing"/>
              <w:numPr>
                <w:ilvl w:val="1"/>
                <w:numId w:val="12"/>
              </w:numPr>
              <w:tabs>
                <w:tab w:val="left" w:pos="567"/>
              </w:tabs>
              <w:rPr>
                <w:rFonts w:cs="Calibri"/>
                <w:color w:val="1F497D"/>
                <w:lang w:val="en-US" w:eastAsia="en-ZA"/>
              </w:rPr>
            </w:pPr>
            <w:r w:rsidRPr="007678C0">
              <w:rPr>
                <w:rFonts w:ascii="Arial" w:hAnsi="Arial" w:cs="Arial"/>
                <w:b/>
                <w:color w:val="000000"/>
              </w:rPr>
              <w:t xml:space="preserve">What agreements are in place for OTC derivatives e.g. </w:t>
            </w:r>
            <w:r w:rsidRPr="007678C0">
              <w:rPr>
                <w:rFonts w:ascii="Arial" w:hAnsi="Arial" w:cs="Arial"/>
                <w:b/>
                <w:color w:val="000000"/>
                <w:lang w:val="en-US"/>
              </w:rPr>
              <w:t>ISDA agreements/</w:t>
            </w:r>
            <w:r w:rsidR="001B2F1E">
              <w:rPr>
                <w:rFonts w:ascii="Arial" w:hAnsi="Arial" w:cs="Arial"/>
                <w:b/>
                <w:color w:val="000000"/>
                <w:lang w:val="en-US"/>
              </w:rPr>
              <w:t>Credit Support Annex (</w:t>
            </w:r>
            <w:r w:rsidRPr="007678C0">
              <w:rPr>
                <w:rFonts w:ascii="Arial" w:hAnsi="Arial" w:cs="Arial"/>
                <w:b/>
                <w:color w:val="000000"/>
                <w:lang w:val="en-US"/>
              </w:rPr>
              <w:t>CSAs</w:t>
            </w:r>
            <w:r w:rsidR="001B2F1E">
              <w:rPr>
                <w:rFonts w:ascii="Arial" w:hAnsi="Arial" w:cs="Arial"/>
                <w:b/>
                <w:color w:val="000000"/>
                <w:lang w:val="en-US"/>
              </w:rPr>
              <w:t>)</w:t>
            </w:r>
            <w:r w:rsidRPr="007678C0">
              <w:rPr>
                <w:rFonts w:ascii="Arial" w:hAnsi="Arial" w:cs="Arial"/>
                <w:b/>
                <w:color w:val="000000"/>
                <w:lang w:val="en-US"/>
              </w:rPr>
              <w:t xml:space="preserve"> or other agreements</w:t>
            </w:r>
            <w:r w:rsidRPr="007678C0">
              <w:rPr>
                <w:rFonts w:ascii="Arial" w:hAnsi="Arial" w:cs="Arial"/>
                <w:b/>
                <w:color w:val="000000"/>
                <w:lang w:val="en-US" w:eastAsia="en-ZA"/>
              </w:rPr>
              <w:t xml:space="preserve">. </w:t>
            </w:r>
            <w:r w:rsidRPr="007678C0">
              <w:rPr>
                <w:rFonts w:ascii="Arial" w:hAnsi="Arial" w:cs="Arial"/>
                <w:b/>
                <w:color w:val="000000"/>
                <w:lang w:val="en-US"/>
              </w:rPr>
              <w:t>Do these agreements incorporate specific default measures (insolvency requirements/immediate availability of collateral etc.)</w:t>
            </w:r>
          </w:p>
        </w:tc>
      </w:tr>
      <w:tr w:rsidR="00383B78" w:rsidRPr="00556BBD" w:rsidTr="007678C0">
        <w:trPr>
          <w:trHeight w:val="2035"/>
        </w:trPr>
        <w:tc>
          <w:tcPr>
            <w:tcW w:w="9016" w:type="dxa"/>
            <w:shd w:val="clear" w:color="auto" w:fill="auto"/>
          </w:tcPr>
          <w:p w:rsidR="00383B78" w:rsidRDefault="00383B78" w:rsidP="007678C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383B78" w:rsidRPr="00D046EE" w:rsidRDefault="00383B78" w:rsidP="007678C0">
            <w:pPr>
              <w:tabs>
                <w:tab w:val="left" w:pos="1042"/>
              </w:tabs>
            </w:pPr>
          </w:p>
        </w:tc>
      </w:tr>
      <w:tr w:rsidR="00D01D8C" w:rsidRPr="007678C0" w:rsidTr="007678C0">
        <w:trPr>
          <w:trHeight w:val="58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D01D8C" w:rsidRPr="007678C0" w:rsidRDefault="00D01D8C" w:rsidP="00D01D8C">
            <w:pPr>
              <w:pStyle w:val="NoSpacing"/>
              <w:numPr>
                <w:ilvl w:val="1"/>
                <w:numId w:val="12"/>
              </w:numPr>
              <w:tabs>
                <w:tab w:val="left" w:pos="567"/>
              </w:tabs>
              <w:rPr>
                <w:rFonts w:ascii="Arial" w:hAnsi="Arial" w:cs="Arial"/>
                <w:b/>
                <w:color w:val="000000"/>
                <w:lang w:val="en-US" w:eastAsia="en-ZA"/>
              </w:rPr>
            </w:pPr>
            <w:r w:rsidRPr="007678C0">
              <w:rPr>
                <w:rFonts w:ascii="Arial" w:hAnsi="Arial" w:cs="Arial"/>
                <w:b/>
                <w:color w:val="000000"/>
                <w:lang w:val="en-US"/>
              </w:rPr>
              <w:t>Has any trade been halted as a result of requirements for margin not been in effect/different</w:t>
            </w:r>
          </w:p>
        </w:tc>
      </w:tr>
      <w:tr w:rsidR="00D01D8C" w:rsidRPr="00556BBD" w:rsidTr="00D01D8C">
        <w:trPr>
          <w:trHeight w:val="203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8C" w:rsidRDefault="00D01D8C" w:rsidP="007678C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D01D8C" w:rsidRPr="00D01D8C" w:rsidRDefault="00D01D8C" w:rsidP="00D01D8C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</w:tbl>
    <w:p w:rsidR="00D01D8C" w:rsidRDefault="00D01D8C" w:rsidP="00D01D8C">
      <w:pPr>
        <w:pStyle w:val="ListParagraph"/>
        <w:widowControl/>
        <w:ind w:left="0"/>
        <w:rPr>
          <w:rFonts w:ascii="Calibri" w:hAnsi="Calibri" w:cs="Calibri"/>
          <w:color w:val="1F497D"/>
          <w:sz w:val="22"/>
          <w:szCs w:val="22"/>
          <w:lang w:val="en-US"/>
        </w:rPr>
      </w:pPr>
    </w:p>
    <w:p w:rsidR="00314C02" w:rsidRPr="00556BBD" w:rsidRDefault="00573194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  <w:r w:rsidRPr="00556BBD">
        <w:rPr>
          <w:rFonts w:ascii="Arial" w:hAnsi="Arial" w:cs="Arial"/>
          <w:b/>
          <w:color w:val="000000"/>
        </w:rPr>
        <w:t xml:space="preserve">PART </w:t>
      </w:r>
      <w:r w:rsidR="00E311DC" w:rsidRPr="00556BBD">
        <w:rPr>
          <w:rFonts w:ascii="Arial" w:hAnsi="Arial" w:cs="Arial"/>
          <w:b/>
          <w:color w:val="000000"/>
        </w:rPr>
        <w:t>2</w:t>
      </w:r>
      <w:r w:rsidR="000D5C2F" w:rsidRPr="00556BBD">
        <w:rPr>
          <w:rFonts w:ascii="Arial" w:hAnsi="Arial" w:cs="Arial"/>
          <w:b/>
          <w:color w:val="000000"/>
        </w:rPr>
        <w:t xml:space="preserve">: </w:t>
      </w:r>
      <w:r w:rsidR="00F928F2" w:rsidRPr="00556BBD">
        <w:rPr>
          <w:rFonts w:ascii="Arial" w:hAnsi="Arial" w:cs="Arial"/>
          <w:b/>
          <w:color w:val="000000"/>
        </w:rPr>
        <w:t xml:space="preserve">CURRENT AND EXPECTED </w:t>
      </w:r>
      <w:r w:rsidRPr="00556BBD">
        <w:rPr>
          <w:rFonts w:ascii="Arial" w:hAnsi="Arial" w:cs="Arial"/>
          <w:b/>
          <w:color w:val="000000"/>
        </w:rPr>
        <w:t>CHANGE</w:t>
      </w:r>
      <w:r w:rsidR="0016272F" w:rsidRPr="00556BBD">
        <w:rPr>
          <w:rFonts w:ascii="Arial" w:hAnsi="Arial" w:cs="Arial"/>
          <w:b/>
          <w:color w:val="000000"/>
        </w:rPr>
        <w:t>S</w:t>
      </w:r>
      <w:r w:rsidRPr="00556BBD">
        <w:rPr>
          <w:rFonts w:ascii="Arial" w:hAnsi="Arial" w:cs="Arial"/>
          <w:b/>
          <w:color w:val="000000"/>
        </w:rPr>
        <w:t xml:space="preserve"> IN </w:t>
      </w:r>
      <w:r w:rsidR="0081451C" w:rsidRPr="00556BBD">
        <w:rPr>
          <w:rFonts w:ascii="Arial" w:hAnsi="Arial" w:cs="Arial"/>
          <w:b/>
          <w:color w:val="000000"/>
        </w:rPr>
        <w:t>OVERAL</w:t>
      </w:r>
      <w:r w:rsidR="008250CF">
        <w:rPr>
          <w:rFonts w:ascii="Arial" w:hAnsi="Arial" w:cs="Arial"/>
          <w:b/>
          <w:color w:val="000000"/>
        </w:rPr>
        <w:t>L</w:t>
      </w:r>
      <w:r w:rsidR="0081451C" w:rsidRPr="00556BBD">
        <w:rPr>
          <w:rFonts w:ascii="Arial" w:hAnsi="Arial" w:cs="Arial"/>
          <w:b/>
          <w:color w:val="000000"/>
        </w:rPr>
        <w:t xml:space="preserve"> COSTS</w:t>
      </w:r>
    </w:p>
    <w:p w:rsidR="00F928F2" w:rsidRPr="00556BBD" w:rsidRDefault="00F928F2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60"/>
        <w:gridCol w:w="5379"/>
      </w:tblGrid>
      <w:tr w:rsidR="001467A7" w:rsidRPr="00556BBD" w:rsidTr="00ED4600">
        <w:trPr>
          <w:trHeight w:val="508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F928F2" w:rsidRPr="004D2E23" w:rsidRDefault="00F928F2" w:rsidP="004D2E23">
            <w:pPr>
              <w:pStyle w:val="NoSpacing"/>
              <w:numPr>
                <w:ilvl w:val="1"/>
                <w:numId w:val="3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  <w:t>Given that other countries have already implemented margin requirements, has this impacted on your organisation or operations, if so, how has this impacted you?</w:t>
            </w:r>
            <w:r w:rsidR="003E101C">
              <w:rPr>
                <w:rFonts w:ascii="Arial" w:hAnsi="Arial" w:cs="Arial"/>
                <w:b/>
                <w:color w:val="000000"/>
              </w:rPr>
              <w:t xml:space="preserve"> Have there been exemptions for margining?</w:t>
            </w:r>
          </w:p>
        </w:tc>
      </w:tr>
      <w:tr w:rsidR="001467A7" w:rsidRPr="00556BBD" w:rsidTr="00F928F2">
        <w:trPr>
          <w:trHeight w:val="71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F2" w:rsidRPr="00556BBD" w:rsidRDefault="00F928F2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 xml:space="preserve">Response: </w:t>
            </w:r>
          </w:p>
          <w:p w:rsidR="003E101C" w:rsidRPr="00556BBD" w:rsidRDefault="003E101C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:rsidR="00F928F2" w:rsidRPr="00556BBD" w:rsidRDefault="00F928F2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:rsidR="00F928F2" w:rsidRPr="00556BBD" w:rsidRDefault="00F928F2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:rsidR="00F928F2" w:rsidRPr="00556BBD" w:rsidRDefault="00F928F2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:rsidR="00D86D11" w:rsidRPr="00556BBD" w:rsidRDefault="00D86D11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:rsidR="00D86D11" w:rsidRPr="00556BBD" w:rsidRDefault="00D86D11" w:rsidP="00D86D11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F928F2" w:rsidRPr="00556BBD" w:rsidRDefault="00F928F2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467A7" w:rsidRPr="00556BBD" w:rsidTr="00ED4600">
        <w:trPr>
          <w:trHeight w:val="715"/>
        </w:trPr>
        <w:tc>
          <w:tcPr>
            <w:tcW w:w="9039" w:type="dxa"/>
            <w:gridSpan w:val="2"/>
            <w:shd w:val="clear" w:color="auto" w:fill="FFE599"/>
            <w:vAlign w:val="center"/>
          </w:tcPr>
          <w:p w:rsidR="00D7365B" w:rsidRPr="00556BBD" w:rsidRDefault="00E41345" w:rsidP="000D5C2F">
            <w:pPr>
              <w:pStyle w:val="NoSpacing"/>
              <w:numPr>
                <w:ilvl w:val="1"/>
                <w:numId w:val="3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</w:r>
            <w:r w:rsidR="00197A9F" w:rsidRPr="00556BBD">
              <w:rPr>
                <w:rFonts w:ascii="Arial" w:hAnsi="Arial" w:cs="Arial"/>
                <w:b/>
                <w:color w:val="000000"/>
              </w:rPr>
              <w:t xml:space="preserve">What do you see as the main costs or risks to the introduction of </w:t>
            </w:r>
            <w:r w:rsidR="0081451C" w:rsidRPr="00556BBD">
              <w:rPr>
                <w:rFonts w:ascii="Arial" w:hAnsi="Arial" w:cs="Arial"/>
                <w:b/>
                <w:color w:val="000000"/>
              </w:rPr>
              <w:t xml:space="preserve">margin requirements for the non-centrally cleared OTC Derivatives </w:t>
            </w:r>
            <w:r w:rsidR="00197A9F" w:rsidRPr="00556BBD">
              <w:rPr>
                <w:rFonts w:ascii="Arial" w:hAnsi="Arial" w:cs="Arial"/>
                <w:b/>
                <w:color w:val="000000"/>
              </w:rPr>
              <w:t>in S</w:t>
            </w:r>
            <w:r w:rsidR="001B2F1E">
              <w:rPr>
                <w:rFonts w:ascii="Arial" w:hAnsi="Arial" w:cs="Arial"/>
                <w:b/>
                <w:color w:val="000000"/>
              </w:rPr>
              <w:t xml:space="preserve">outh </w:t>
            </w:r>
            <w:r w:rsidR="00197A9F" w:rsidRPr="00556BBD">
              <w:rPr>
                <w:rFonts w:ascii="Arial" w:hAnsi="Arial" w:cs="Arial"/>
                <w:b/>
                <w:color w:val="000000"/>
              </w:rPr>
              <w:t>A</w:t>
            </w:r>
            <w:r w:rsidR="001B2F1E">
              <w:rPr>
                <w:rFonts w:ascii="Arial" w:hAnsi="Arial" w:cs="Arial"/>
                <w:b/>
                <w:color w:val="000000"/>
              </w:rPr>
              <w:t>frica</w:t>
            </w:r>
            <w:r w:rsidR="0081451C" w:rsidRPr="00556BBD">
              <w:rPr>
                <w:rFonts w:ascii="Arial" w:hAnsi="Arial" w:cs="Arial"/>
                <w:b/>
                <w:color w:val="000000"/>
              </w:rPr>
              <w:t xml:space="preserve">? </w:t>
            </w:r>
          </w:p>
          <w:p w:rsidR="00B032B4" w:rsidRPr="00556BBD" w:rsidRDefault="00B032B4" w:rsidP="00B032B4">
            <w:pPr>
              <w:pStyle w:val="NoSpacing"/>
              <w:tabs>
                <w:tab w:val="left" w:pos="275"/>
              </w:tabs>
              <w:ind w:left="360"/>
              <w:rPr>
                <w:rFonts w:ascii="Arial" w:hAnsi="Arial" w:cs="Arial"/>
                <w:b/>
                <w:color w:val="000000"/>
              </w:rPr>
            </w:pPr>
          </w:p>
          <w:p w:rsidR="00D7365B" w:rsidRPr="00556BBD" w:rsidRDefault="00B032B4" w:rsidP="00B032B4">
            <w:pPr>
              <w:pStyle w:val="NoSpacing"/>
              <w:tabs>
                <w:tab w:val="left" w:pos="275"/>
              </w:tabs>
              <w:ind w:left="360"/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Where possible, please quantify expected costs.</w:t>
            </w:r>
          </w:p>
        </w:tc>
      </w:tr>
      <w:tr w:rsidR="001467A7" w:rsidRPr="00556BBD" w:rsidTr="00ED4600">
        <w:trPr>
          <w:trHeight w:val="1006"/>
        </w:trPr>
        <w:tc>
          <w:tcPr>
            <w:tcW w:w="3660" w:type="dxa"/>
            <w:shd w:val="clear" w:color="auto" w:fill="FFE599"/>
          </w:tcPr>
          <w:p w:rsidR="006F1B7B" w:rsidRPr="00556BBD" w:rsidRDefault="006F1B7B" w:rsidP="000D5C2F">
            <w:pPr>
              <w:pStyle w:val="NoSpacing"/>
              <w:numPr>
                <w:ilvl w:val="1"/>
                <w:numId w:val="3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 xml:space="preserve">What aspects of the </w:t>
            </w:r>
            <w:r w:rsidR="0081451C" w:rsidRPr="00556BBD">
              <w:rPr>
                <w:rFonts w:ascii="Arial" w:hAnsi="Arial" w:cs="Arial"/>
                <w:b/>
                <w:color w:val="000000"/>
              </w:rPr>
              <w:t xml:space="preserve">proposed </w:t>
            </w:r>
            <w:r w:rsidR="00AA4E4A" w:rsidRPr="00556BBD">
              <w:rPr>
                <w:rFonts w:ascii="Arial" w:hAnsi="Arial" w:cs="Arial"/>
                <w:b/>
                <w:color w:val="000000"/>
              </w:rPr>
              <w:t>framework will increase costs</w:t>
            </w:r>
            <w:r w:rsidR="00197A9F" w:rsidRPr="00556BBD">
              <w:rPr>
                <w:rFonts w:ascii="Arial" w:hAnsi="Arial" w:cs="Arial"/>
                <w:b/>
                <w:color w:val="000000"/>
              </w:rPr>
              <w:t xml:space="preserve"> or risks</w:t>
            </w:r>
            <w:r w:rsidR="00AA4E4A" w:rsidRPr="00556BBD">
              <w:rPr>
                <w:rFonts w:ascii="Arial" w:hAnsi="Arial" w:cs="Arial"/>
                <w:b/>
                <w:color w:val="000000"/>
              </w:rPr>
              <w:t>?</w:t>
            </w:r>
          </w:p>
        </w:tc>
        <w:tc>
          <w:tcPr>
            <w:tcW w:w="5379" w:type="dxa"/>
            <w:shd w:val="clear" w:color="auto" w:fill="auto"/>
          </w:tcPr>
          <w:p w:rsidR="00197A9F" w:rsidRPr="00556BBD" w:rsidRDefault="00197A9F" w:rsidP="00197A9F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6F1B7B" w:rsidRPr="00556BBD" w:rsidRDefault="006F1B7B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D86D11" w:rsidRPr="00556BBD" w:rsidRDefault="00D86D11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D86D11" w:rsidRPr="00556BBD" w:rsidRDefault="00D86D11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D86D11" w:rsidRPr="00556BBD" w:rsidRDefault="00D86D11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D86D11" w:rsidRPr="00556BBD" w:rsidRDefault="00D86D11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D86D11" w:rsidRPr="00556BBD" w:rsidRDefault="00D86D11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D86D11" w:rsidRPr="00556BBD" w:rsidRDefault="00D86D11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1467A7" w:rsidRPr="00556BBD" w:rsidTr="00ED4600">
        <w:trPr>
          <w:trHeight w:val="1039"/>
        </w:trPr>
        <w:tc>
          <w:tcPr>
            <w:tcW w:w="3660" w:type="dxa"/>
            <w:shd w:val="clear" w:color="auto" w:fill="FFE599"/>
          </w:tcPr>
          <w:p w:rsidR="006F1B7B" w:rsidRPr="00556BBD" w:rsidRDefault="00197A9F" w:rsidP="008250CF">
            <w:pPr>
              <w:pStyle w:val="NoSpacing"/>
              <w:numPr>
                <w:ilvl w:val="1"/>
                <w:numId w:val="3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 xml:space="preserve">How </w:t>
            </w:r>
            <w:r w:rsidR="008250CF">
              <w:rPr>
                <w:rFonts w:ascii="Arial" w:hAnsi="Arial" w:cs="Arial"/>
                <w:b/>
                <w:color w:val="000000"/>
              </w:rPr>
              <w:t>will</w:t>
            </w:r>
            <w:r w:rsidRPr="00556BBD">
              <w:rPr>
                <w:rFonts w:ascii="Arial" w:hAnsi="Arial" w:cs="Arial"/>
                <w:b/>
                <w:color w:val="000000"/>
              </w:rPr>
              <w:t xml:space="preserve"> the costs or risks identified above be managed or minimised?</w:t>
            </w:r>
          </w:p>
        </w:tc>
        <w:tc>
          <w:tcPr>
            <w:tcW w:w="5379" w:type="dxa"/>
            <w:shd w:val="clear" w:color="auto" w:fill="auto"/>
          </w:tcPr>
          <w:p w:rsidR="00197A9F" w:rsidRPr="00556BBD" w:rsidRDefault="00197A9F" w:rsidP="00197A9F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6F1B7B" w:rsidRPr="00556BBD" w:rsidRDefault="006F1B7B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D86D11" w:rsidRPr="00556BBD" w:rsidRDefault="00D86D11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:rsidR="00D86D11" w:rsidRPr="00556BBD" w:rsidRDefault="00D86D11" w:rsidP="00573194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1467A7" w:rsidRPr="00556BBD" w:rsidTr="00ED4600">
        <w:trPr>
          <w:trHeight w:val="392"/>
        </w:trPr>
        <w:tc>
          <w:tcPr>
            <w:tcW w:w="9039" w:type="dxa"/>
            <w:gridSpan w:val="2"/>
            <w:shd w:val="clear" w:color="auto" w:fill="FFE599"/>
            <w:vAlign w:val="center"/>
          </w:tcPr>
          <w:p w:rsidR="00197A9F" w:rsidRPr="004D2E23" w:rsidRDefault="00F66FF8" w:rsidP="004D2E23">
            <w:pPr>
              <w:pStyle w:val="NoSpacing"/>
              <w:numPr>
                <w:ilvl w:val="1"/>
                <w:numId w:val="3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4D2E23">
              <w:rPr>
                <w:rFonts w:ascii="Arial" w:hAnsi="Arial" w:cs="Arial"/>
                <w:b/>
                <w:color w:val="000000"/>
              </w:rPr>
              <w:t>Overall, what is the expected change in costs?</w:t>
            </w:r>
            <w:r w:rsidR="008250CF">
              <w:rPr>
                <w:rFonts w:ascii="Arial" w:hAnsi="Arial" w:cs="Arial"/>
                <w:b/>
                <w:color w:val="000000"/>
              </w:rPr>
              <w:t xml:space="preserve"> Overall, what is the anticipated expect cost (on staffing; systems; processes; contracts </w:t>
            </w:r>
            <w:r w:rsidR="008905D2">
              <w:rPr>
                <w:rFonts w:ascii="Arial" w:hAnsi="Arial" w:cs="Arial"/>
                <w:b/>
                <w:color w:val="000000"/>
              </w:rPr>
              <w:t>etc.</w:t>
            </w:r>
            <w:r w:rsidR="008250CF">
              <w:rPr>
                <w:rFonts w:ascii="Arial" w:hAnsi="Arial" w:cs="Arial"/>
                <w:b/>
                <w:color w:val="000000"/>
              </w:rPr>
              <w:t>) to implementing the margin requirements?</w:t>
            </w:r>
          </w:p>
        </w:tc>
      </w:tr>
      <w:tr w:rsidR="004D2E23" w:rsidRPr="00556BBD" w:rsidTr="004D2E23">
        <w:trPr>
          <w:trHeight w:val="392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4D2E23" w:rsidRPr="004D2E23" w:rsidRDefault="004D2E23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 w:rsidRPr="004D2E23">
              <w:rPr>
                <w:rFonts w:ascii="Arial" w:hAnsi="Arial" w:cs="Arial"/>
                <w:color w:val="000000"/>
              </w:rPr>
              <w:t>Response:</w:t>
            </w:r>
          </w:p>
          <w:p w:rsidR="004D2E23" w:rsidRDefault="004D2E23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4D2E23" w:rsidRDefault="004D2E23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4D2E23" w:rsidRDefault="004D2E23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4D2E23" w:rsidRDefault="004D2E23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4D2E23" w:rsidRDefault="004D2E23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4D2E23" w:rsidRDefault="004D2E23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4D2E23" w:rsidRDefault="004D2E23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4D2E23" w:rsidRDefault="004D2E23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:rsidR="00C73AE5" w:rsidRPr="004D2E23" w:rsidRDefault="00C73AE5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62A58" w:rsidRDefault="00362A58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</w:p>
    <w:p w:rsidR="00D7365B" w:rsidRPr="00556BBD" w:rsidRDefault="00AA4E4A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  <w:r w:rsidRPr="00556BBD">
        <w:rPr>
          <w:rFonts w:ascii="Arial" w:hAnsi="Arial" w:cs="Arial"/>
          <w:b/>
          <w:color w:val="000000"/>
        </w:rPr>
        <w:t xml:space="preserve">PART </w:t>
      </w:r>
      <w:r w:rsidR="00E311DC" w:rsidRPr="00556BBD">
        <w:rPr>
          <w:rFonts w:ascii="Arial" w:hAnsi="Arial" w:cs="Arial"/>
          <w:b/>
          <w:color w:val="000000"/>
        </w:rPr>
        <w:t>3</w:t>
      </w:r>
      <w:r w:rsidR="000D5C2F" w:rsidRPr="00556BBD">
        <w:rPr>
          <w:rFonts w:ascii="Arial" w:hAnsi="Arial" w:cs="Arial"/>
          <w:b/>
          <w:color w:val="000000"/>
        </w:rPr>
        <w:t xml:space="preserve">: </w:t>
      </w:r>
      <w:r w:rsidRPr="00556BBD">
        <w:rPr>
          <w:rFonts w:ascii="Arial" w:hAnsi="Arial" w:cs="Arial"/>
          <w:b/>
          <w:color w:val="000000"/>
        </w:rPr>
        <w:t>EXPECT</w:t>
      </w:r>
      <w:r w:rsidR="00E45484">
        <w:rPr>
          <w:rFonts w:ascii="Arial" w:hAnsi="Arial" w:cs="Arial"/>
          <w:b/>
          <w:color w:val="000000"/>
        </w:rPr>
        <w:t>ED</w:t>
      </w:r>
      <w:r w:rsidRPr="00556BBD">
        <w:rPr>
          <w:rFonts w:ascii="Arial" w:hAnsi="Arial" w:cs="Arial"/>
          <w:b/>
          <w:color w:val="000000"/>
        </w:rPr>
        <w:t xml:space="preserve"> BENEFITS </w:t>
      </w:r>
    </w:p>
    <w:p w:rsidR="00AA4E4A" w:rsidRPr="00556BBD" w:rsidRDefault="00AA4E4A" w:rsidP="00F66FF8">
      <w:pPr>
        <w:pStyle w:val="NoSpacing"/>
        <w:jc w:val="both"/>
        <w:rPr>
          <w:rFonts w:ascii="Arial" w:hAnsi="Arial" w:cs="Arial"/>
          <w:color w:val="000000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48"/>
      </w:tblGrid>
      <w:tr w:rsidR="001467A7" w:rsidRPr="00556BBD" w:rsidTr="00ED4600">
        <w:trPr>
          <w:trHeight w:val="597"/>
        </w:trPr>
        <w:tc>
          <w:tcPr>
            <w:tcW w:w="9248" w:type="dxa"/>
            <w:shd w:val="clear" w:color="auto" w:fill="FFE599"/>
            <w:vAlign w:val="center"/>
          </w:tcPr>
          <w:p w:rsidR="00D046EE" w:rsidRPr="00556BBD" w:rsidRDefault="000D5C2F" w:rsidP="00D046E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</w:r>
            <w:r w:rsidR="00D046EE">
              <w:rPr>
                <w:rFonts w:ascii="Arial" w:hAnsi="Arial" w:cs="Arial"/>
                <w:b/>
                <w:color w:val="000000"/>
              </w:rPr>
              <w:t xml:space="preserve">3.1 </w:t>
            </w:r>
            <w:r w:rsidR="00B032B4" w:rsidRPr="00556BBD">
              <w:rPr>
                <w:rFonts w:ascii="Arial" w:hAnsi="Arial" w:cs="Arial"/>
                <w:b/>
                <w:color w:val="000000"/>
              </w:rPr>
              <w:t>What do you see as the main benefits of margin requirements for the non-centrally cleared OTC Derivatives to y</w:t>
            </w:r>
            <w:r w:rsidR="00D046EE">
              <w:rPr>
                <w:rFonts w:ascii="Arial" w:hAnsi="Arial" w:cs="Arial"/>
                <w:b/>
                <w:color w:val="000000"/>
              </w:rPr>
              <w:t>our organisation and operations?</w:t>
            </w:r>
          </w:p>
          <w:p w:rsidR="00AA4E4A" w:rsidRPr="00556BBD" w:rsidRDefault="00AA4E4A" w:rsidP="00B032B4">
            <w:pPr>
              <w:pStyle w:val="NoSpacing"/>
              <w:spacing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67A7" w:rsidRPr="00556BBD" w:rsidTr="00D86C4D">
        <w:trPr>
          <w:trHeight w:val="249"/>
        </w:trPr>
        <w:tc>
          <w:tcPr>
            <w:tcW w:w="9248" w:type="dxa"/>
            <w:shd w:val="clear" w:color="auto" w:fill="auto"/>
            <w:vAlign w:val="center"/>
          </w:tcPr>
          <w:p w:rsidR="00B032B4" w:rsidRPr="00556BBD" w:rsidRDefault="00B032B4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B032B4" w:rsidRPr="00556BBD" w:rsidRDefault="00B032B4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B032B4" w:rsidRPr="00556BBD" w:rsidRDefault="00B032B4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B032B4" w:rsidRPr="00556BBD" w:rsidRDefault="00B032B4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E05760" w:rsidRPr="00556BBD" w:rsidRDefault="00E05760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E05760" w:rsidRPr="00556BBD" w:rsidRDefault="00E05760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E05760" w:rsidRPr="00556BBD" w:rsidRDefault="00E05760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E05760" w:rsidRPr="00556BBD" w:rsidRDefault="00E05760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E05760" w:rsidRPr="00556BBD" w:rsidRDefault="00E05760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B032B4" w:rsidRPr="00556BBD" w:rsidRDefault="00B032B4" w:rsidP="00B032B4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</w:p>
        </w:tc>
      </w:tr>
      <w:tr w:rsidR="00362A58" w:rsidRPr="00556BBD" w:rsidTr="007678C0">
        <w:trPr>
          <w:trHeight w:val="597"/>
        </w:trPr>
        <w:tc>
          <w:tcPr>
            <w:tcW w:w="9248" w:type="dxa"/>
            <w:shd w:val="clear" w:color="auto" w:fill="FFE599"/>
            <w:vAlign w:val="center"/>
          </w:tcPr>
          <w:p w:rsidR="00362A58" w:rsidRPr="00556BBD" w:rsidRDefault="00362A58" w:rsidP="00D046EE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</w:r>
            <w:r w:rsidR="00D046EE">
              <w:rPr>
                <w:rFonts w:ascii="Arial" w:hAnsi="Arial" w:cs="Arial"/>
                <w:b/>
                <w:color w:val="000000"/>
              </w:rPr>
              <w:t xml:space="preserve">3.2 </w:t>
            </w:r>
            <w:r w:rsidRPr="00D046EE">
              <w:rPr>
                <w:rFonts w:ascii="Arial" w:hAnsi="Arial" w:cs="Arial"/>
                <w:b/>
                <w:color w:val="000000"/>
              </w:rPr>
              <w:t>Assuming a go-live date of 1 January 2019, please provide an indication or estimat</w:t>
            </w:r>
            <w:r w:rsidR="00D046EE">
              <w:rPr>
                <w:rFonts w:ascii="Arial" w:hAnsi="Arial" w:cs="Arial"/>
                <w:b/>
                <w:color w:val="000000"/>
              </w:rPr>
              <w:t>ion</w:t>
            </w:r>
            <w:r w:rsidRPr="00D046EE">
              <w:rPr>
                <w:rFonts w:ascii="Arial" w:hAnsi="Arial" w:cs="Arial"/>
                <w:b/>
                <w:color w:val="000000"/>
              </w:rPr>
              <w:t xml:space="preserve"> of the number of transactions that would require the exchange of initial margin (bearing in mind the thresholds as set out above).</w:t>
            </w:r>
          </w:p>
        </w:tc>
      </w:tr>
      <w:tr w:rsidR="00362A58" w:rsidRPr="00556BBD" w:rsidTr="007678C0">
        <w:trPr>
          <w:trHeight w:val="249"/>
        </w:trPr>
        <w:tc>
          <w:tcPr>
            <w:tcW w:w="9248" w:type="dxa"/>
            <w:shd w:val="clear" w:color="auto" w:fill="auto"/>
            <w:vAlign w:val="center"/>
          </w:tcPr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362A58" w:rsidRPr="00556BBD" w:rsidRDefault="00362A58" w:rsidP="007678C0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46EE" w:rsidRPr="00556BBD" w:rsidTr="007678C0">
        <w:trPr>
          <w:trHeight w:val="597"/>
        </w:trPr>
        <w:tc>
          <w:tcPr>
            <w:tcW w:w="9248" w:type="dxa"/>
            <w:shd w:val="clear" w:color="auto" w:fill="FFE599"/>
            <w:vAlign w:val="center"/>
          </w:tcPr>
          <w:p w:rsidR="00D046EE" w:rsidRPr="00556BBD" w:rsidRDefault="00D046EE" w:rsidP="007678C0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</w:r>
            <w:r>
              <w:rPr>
                <w:rFonts w:ascii="Arial" w:hAnsi="Arial" w:cs="Arial"/>
                <w:b/>
                <w:color w:val="000000"/>
              </w:rPr>
              <w:t xml:space="preserve">3.3 </w:t>
            </w:r>
            <w:r w:rsidRPr="00D046EE">
              <w:rPr>
                <w:rFonts w:ascii="Arial" w:hAnsi="Arial" w:cs="Arial"/>
                <w:b/>
                <w:color w:val="000000"/>
              </w:rPr>
              <w:t>Do you anticipate that the compliance with the margin requirements will have an impact on the institution’s ability to comply with other prudential requirements imposed on the institution?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46EE" w:rsidRPr="00556BBD" w:rsidTr="007678C0">
        <w:trPr>
          <w:trHeight w:val="249"/>
        </w:trPr>
        <w:tc>
          <w:tcPr>
            <w:tcW w:w="9248" w:type="dxa"/>
            <w:shd w:val="clear" w:color="auto" w:fill="auto"/>
            <w:vAlign w:val="center"/>
          </w:tcPr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D046EE" w:rsidRPr="00556BBD" w:rsidRDefault="00D046EE" w:rsidP="007678C0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467A7" w:rsidRPr="00556BBD" w:rsidRDefault="001467A7" w:rsidP="001467A7">
      <w:pPr>
        <w:pStyle w:val="NoSpacing"/>
        <w:jc w:val="both"/>
        <w:rPr>
          <w:rFonts w:ascii="Arial" w:hAnsi="Arial" w:cs="Arial"/>
          <w:color w:val="000000"/>
        </w:rPr>
      </w:pPr>
    </w:p>
    <w:p w:rsidR="001467A7" w:rsidRPr="00556BBD" w:rsidRDefault="001467A7" w:rsidP="001467A7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  <w:r w:rsidRPr="00556BBD">
        <w:rPr>
          <w:rFonts w:ascii="Arial" w:hAnsi="Arial" w:cs="Arial"/>
          <w:b/>
          <w:color w:val="000000"/>
        </w:rPr>
        <w:t xml:space="preserve">PART 4: OTHER </w:t>
      </w:r>
    </w:p>
    <w:p w:rsidR="001467A7" w:rsidRPr="00556BBD" w:rsidRDefault="001467A7" w:rsidP="001467A7">
      <w:pPr>
        <w:pStyle w:val="NoSpacing"/>
        <w:jc w:val="both"/>
        <w:rPr>
          <w:rFonts w:ascii="Arial" w:hAnsi="Arial" w:cs="Arial"/>
          <w:color w:val="000000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48"/>
      </w:tblGrid>
      <w:tr w:rsidR="001467A7" w:rsidRPr="00556BBD" w:rsidTr="00ED4600">
        <w:trPr>
          <w:trHeight w:val="597"/>
        </w:trPr>
        <w:tc>
          <w:tcPr>
            <w:tcW w:w="9248" w:type="dxa"/>
            <w:shd w:val="clear" w:color="auto" w:fill="FFE599"/>
            <w:vAlign w:val="center"/>
          </w:tcPr>
          <w:p w:rsidR="001467A7" w:rsidRPr="00556BBD" w:rsidRDefault="001467A7" w:rsidP="00D046EE">
            <w:pPr>
              <w:pStyle w:val="NoSpacing"/>
              <w:numPr>
                <w:ilvl w:val="1"/>
                <w:numId w:val="14"/>
              </w:numPr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</w:r>
            <w:r w:rsidR="004D2E23">
              <w:rPr>
                <w:rFonts w:ascii="Arial" w:hAnsi="Arial" w:cs="Arial"/>
                <w:b/>
                <w:color w:val="000000"/>
              </w:rPr>
              <w:t xml:space="preserve">Are there </w:t>
            </w:r>
            <w:r w:rsidRPr="00556BBD">
              <w:rPr>
                <w:rFonts w:ascii="Arial" w:hAnsi="Arial" w:cs="Arial"/>
                <w:b/>
                <w:color w:val="000000"/>
              </w:rPr>
              <w:t>any other issue</w:t>
            </w:r>
            <w:r w:rsidR="004D2E23">
              <w:rPr>
                <w:rFonts w:ascii="Arial" w:hAnsi="Arial" w:cs="Arial"/>
                <w:b/>
                <w:color w:val="000000"/>
              </w:rPr>
              <w:t>s</w:t>
            </w:r>
            <w:r w:rsidRPr="00556BBD">
              <w:rPr>
                <w:rFonts w:ascii="Arial" w:hAnsi="Arial" w:cs="Arial"/>
                <w:b/>
                <w:color w:val="000000"/>
              </w:rPr>
              <w:t xml:space="preserve"> regarding the non-centrally cleared OTC Derivatives margin requirements that you would like to bring to the attention of the PA</w:t>
            </w:r>
            <w:r w:rsidR="004D2E23">
              <w:rPr>
                <w:rFonts w:ascii="Arial" w:hAnsi="Arial" w:cs="Arial"/>
                <w:b/>
                <w:color w:val="000000"/>
              </w:rPr>
              <w:t xml:space="preserve"> and the FSCA</w:t>
            </w:r>
            <w:r w:rsidRPr="00556BBD">
              <w:rPr>
                <w:rFonts w:ascii="Arial" w:hAnsi="Arial" w:cs="Arial"/>
                <w:b/>
                <w:color w:val="000000"/>
              </w:rPr>
              <w:t>?</w:t>
            </w:r>
          </w:p>
        </w:tc>
      </w:tr>
      <w:tr w:rsidR="001467A7" w:rsidRPr="00556BBD" w:rsidTr="00556BBD">
        <w:trPr>
          <w:trHeight w:val="249"/>
        </w:trPr>
        <w:tc>
          <w:tcPr>
            <w:tcW w:w="9248" w:type="dxa"/>
            <w:shd w:val="clear" w:color="auto" w:fill="auto"/>
            <w:vAlign w:val="center"/>
          </w:tcPr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color w:val="000000"/>
              </w:rPr>
              <w:t>Response:</w:t>
            </w:r>
          </w:p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1467A7" w:rsidRPr="00556BBD" w:rsidRDefault="001467A7" w:rsidP="00556BBD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:rsidR="001467A7" w:rsidRPr="00556BBD" w:rsidRDefault="001467A7" w:rsidP="00556BBD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96C99" w:rsidRPr="00556BBD" w:rsidRDefault="00996C99" w:rsidP="00AE7494">
      <w:pPr>
        <w:pStyle w:val="NoSpacing"/>
        <w:jc w:val="both"/>
        <w:rPr>
          <w:rFonts w:ascii="Arial" w:hAnsi="Arial" w:cs="Arial"/>
          <w:color w:val="000000"/>
        </w:rPr>
      </w:pPr>
    </w:p>
    <w:sectPr w:rsidR="00996C99" w:rsidRPr="00556BBD" w:rsidSect="006F1B7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87" w:rsidRDefault="00926C87" w:rsidP="00262B26">
      <w:pPr>
        <w:spacing w:after="0" w:line="240" w:lineRule="auto"/>
      </w:pPr>
      <w:r>
        <w:separator/>
      </w:r>
    </w:p>
  </w:endnote>
  <w:endnote w:type="continuationSeparator" w:id="0">
    <w:p w:rsidR="00926C87" w:rsidRDefault="00926C87" w:rsidP="0026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1E" w:rsidRDefault="001B2F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8B4">
      <w:rPr>
        <w:noProof/>
      </w:rPr>
      <w:t>1</w:t>
    </w:r>
    <w:r>
      <w:rPr>
        <w:noProof/>
      </w:rPr>
      <w:fldChar w:fldCharType="end"/>
    </w:r>
  </w:p>
  <w:p w:rsidR="001B2F1E" w:rsidRDefault="001B2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87" w:rsidRDefault="00926C87" w:rsidP="00262B26">
      <w:pPr>
        <w:spacing w:after="0" w:line="240" w:lineRule="auto"/>
      </w:pPr>
      <w:r>
        <w:separator/>
      </w:r>
    </w:p>
  </w:footnote>
  <w:footnote w:type="continuationSeparator" w:id="0">
    <w:p w:rsidR="00926C87" w:rsidRDefault="00926C87" w:rsidP="0026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CDC"/>
    <w:multiLevelType w:val="hybridMultilevel"/>
    <w:tmpl w:val="5BE268F8"/>
    <w:lvl w:ilvl="0" w:tplc="53B47C8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2193C"/>
    <w:multiLevelType w:val="hybridMultilevel"/>
    <w:tmpl w:val="71FA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B6685"/>
    <w:multiLevelType w:val="multilevel"/>
    <w:tmpl w:val="2EC6B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CF77BD"/>
    <w:multiLevelType w:val="multilevel"/>
    <w:tmpl w:val="46102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B7601E7"/>
    <w:multiLevelType w:val="hybridMultilevel"/>
    <w:tmpl w:val="32902D90"/>
    <w:lvl w:ilvl="0" w:tplc="6EDA0C6E">
      <w:start w:val="1"/>
      <w:numFmt w:val="lowerLetter"/>
      <w:lvlText w:val="(%1)"/>
      <w:lvlJc w:val="left"/>
      <w:pPr>
        <w:ind w:left="1070" w:hanging="360"/>
      </w:pPr>
      <w:rPr>
        <w:rFonts w:ascii="Arial" w:eastAsia="Arial" w:hAnsi="Arial" w:cs="Arial"/>
        <w:i/>
      </w:rPr>
    </w:lvl>
    <w:lvl w:ilvl="1" w:tplc="1C090019">
      <w:start w:val="1"/>
      <w:numFmt w:val="lowerLetter"/>
      <w:lvlText w:val="%2."/>
      <w:lvlJc w:val="left"/>
      <w:pPr>
        <w:ind w:left="2295" w:hanging="360"/>
      </w:pPr>
    </w:lvl>
    <w:lvl w:ilvl="2" w:tplc="1C09001B">
      <w:start w:val="1"/>
      <w:numFmt w:val="lowerRoman"/>
      <w:lvlText w:val="%3."/>
      <w:lvlJc w:val="right"/>
      <w:pPr>
        <w:ind w:left="3015" w:hanging="180"/>
      </w:pPr>
    </w:lvl>
    <w:lvl w:ilvl="3" w:tplc="1C09000F">
      <w:start w:val="1"/>
      <w:numFmt w:val="decimal"/>
      <w:lvlText w:val="%4."/>
      <w:lvlJc w:val="left"/>
      <w:pPr>
        <w:ind w:left="3735" w:hanging="360"/>
      </w:pPr>
    </w:lvl>
    <w:lvl w:ilvl="4" w:tplc="1C090019">
      <w:start w:val="1"/>
      <w:numFmt w:val="lowerLetter"/>
      <w:lvlText w:val="%5."/>
      <w:lvlJc w:val="left"/>
      <w:pPr>
        <w:ind w:left="4455" w:hanging="360"/>
      </w:pPr>
    </w:lvl>
    <w:lvl w:ilvl="5" w:tplc="1C09001B">
      <w:start w:val="1"/>
      <w:numFmt w:val="lowerRoman"/>
      <w:lvlText w:val="%6."/>
      <w:lvlJc w:val="right"/>
      <w:pPr>
        <w:ind w:left="5175" w:hanging="180"/>
      </w:pPr>
    </w:lvl>
    <w:lvl w:ilvl="6" w:tplc="1C09000F">
      <w:start w:val="1"/>
      <w:numFmt w:val="decimal"/>
      <w:lvlText w:val="%7."/>
      <w:lvlJc w:val="left"/>
      <w:pPr>
        <w:ind w:left="5895" w:hanging="360"/>
      </w:pPr>
    </w:lvl>
    <w:lvl w:ilvl="7" w:tplc="1C090019">
      <w:start w:val="1"/>
      <w:numFmt w:val="lowerLetter"/>
      <w:lvlText w:val="%8."/>
      <w:lvlJc w:val="left"/>
      <w:pPr>
        <w:ind w:left="6615" w:hanging="360"/>
      </w:pPr>
    </w:lvl>
    <w:lvl w:ilvl="8" w:tplc="1C09001B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2BC72AE7"/>
    <w:multiLevelType w:val="hybridMultilevel"/>
    <w:tmpl w:val="55540DF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7F6B5F"/>
    <w:multiLevelType w:val="multilevel"/>
    <w:tmpl w:val="F3B04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0E1E99"/>
    <w:multiLevelType w:val="hybridMultilevel"/>
    <w:tmpl w:val="39024FAA"/>
    <w:lvl w:ilvl="0" w:tplc="0AE658B8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525252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8D71F5D"/>
    <w:multiLevelType w:val="hybridMultilevel"/>
    <w:tmpl w:val="5622D0D2"/>
    <w:lvl w:ilvl="0" w:tplc="32CAD93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1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1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1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0976488"/>
    <w:multiLevelType w:val="hybridMultilevel"/>
    <w:tmpl w:val="DF7E86B4"/>
    <w:lvl w:ilvl="0" w:tplc="0AE658B8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525252"/>
      </w:rPr>
    </w:lvl>
    <w:lvl w:ilvl="1" w:tplc="1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5A84523E"/>
    <w:multiLevelType w:val="multilevel"/>
    <w:tmpl w:val="9B64E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0C540FC"/>
    <w:multiLevelType w:val="hybridMultilevel"/>
    <w:tmpl w:val="A120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92ADB"/>
    <w:multiLevelType w:val="multilevel"/>
    <w:tmpl w:val="2EC6B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5B74606"/>
    <w:multiLevelType w:val="multilevel"/>
    <w:tmpl w:val="3208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76865016"/>
    <w:multiLevelType w:val="hybridMultilevel"/>
    <w:tmpl w:val="1E446D24"/>
    <w:lvl w:ilvl="0" w:tplc="0AE65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2525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12"/>
  </w:num>
  <w:num w:numId="14">
    <w:abstractNumId w:val="10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64"/>
    <w:rsid w:val="00003F58"/>
    <w:rsid w:val="00054222"/>
    <w:rsid w:val="00054802"/>
    <w:rsid w:val="000B104D"/>
    <w:rsid w:val="000B70D8"/>
    <w:rsid w:val="000D20CC"/>
    <w:rsid w:val="000D5C2F"/>
    <w:rsid w:val="00102BDD"/>
    <w:rsid w:val="001109E3"/>
    <w:rsid w:val="001255E4"/>
    <w:rsid w:val="00127A98"/>
    <w:rsid w:val="001467A7"/>
    <w:rsid w:val="0016272F"/>
    <w:rsid w:val="00165B7C"/>
    <w:rsid w:val="00174148"/>
    <w:rsid w:val="00197A9F"/>
    <w:rsid w:val="001A3E37"/>
    <w:rsid w:val="001A3FB5"/>
    <w:rsid w:val="001B2F1E"/>
    <w:rsid w:val="001C0C4E"/>
    <w:rsid w:val="001C1E8A"/>
    <w:rsid w:val="001C59F5"/>
    <w:rsid w:val="001D4413"/>
    <w:rsid w:val="001E1766"/>
    <w:rsid w:val="001E47A8"/>
    <w:rsid w:val="002405D6"/>
    <w:rsid w:val="002512D8"/>
    <w:rsid w:val="00255880"/>
    <w:rsid w:val="00262B26"/>
    <w:rsid w:val="002638B4"/>
    <w:rsid w:val="00287615"/>
    <w:rsid w:val="002B1DE5"/>
    <w:rsid w:val="002F7A34"/>
    <w:rsid w:val="00314C02"/>
    <w:rsid w:val="003460FF"/>
    <w:rsid w:val="00362A58"/>
    <w:rsid w:val="00383B78"/>
    <w:rsid w:val="003A4B58"/>
    <w:rsid w:val="003C121F"/>
    <w:rsid w:val="003E101C"/>
    <w:rsid w:val="003E3D6F"/>
    <w:rsid w:val="003F6E44"/>
    <w:rsid w:val="004001E4"/>
    <w:rsid w:val="004109A9"/>
    <w:rsid w:val="00427154"/>
    <w:rsid w:val="0048066B"/>
    <w:rsid w:val="00483A1A"/>
    <w:rsid w:val="004924B2"/>
    <w:rsid w:val="004D1A93"/>
    <w:rsid w:val="004D2E23"/>
    <w:rsid w:val="0053364F"/>
    <w:rsid w:val="00545882"/>
    <w:rsid w:val="00545D86"/>
    <w:rsid w:val="0055510F"/>
    <w:rsid w:val="00556BBD"/>
    <w:rsid w:val="00564554"/>
    <w:rsid w:val="00573194"/>
    <w:rsid w:val="005747AA"/>
    <w:rsid w:val="00576D5C"/>
    <w:rsid w:val="005B1940"/>
    <w:rsid w:val="005E1428"/>
    <w:rsid w:val="005E7BFC"/>
    <w:rsid w:val="005E7E85"/>
    <w:rsid w:val="005F6C0F"/>
    <w:rsid w:val="00614884"/>
    <w:rsid w:val="00616373"/>
    <w:rsid w:val="00627109"/>
    <w:rsid w:val="00652FC0"/>
    <w:rsid w:val="00665F07"/>
    <w:rsid w:val="006878D9"/>
    <w:rsid w:val="006B0481"/>
    <w:rsid w:val="006B3BAC"/>
    <w:rsid w:val="006C730A"/>
    <w:rsid w:val="006D4816"/>
    <w:rsid w:val="006E0472"/>
    <w:rsid w:val="006F1B7B"/>
    <w:rsid w:val="00711942"/>
    <w:rsid w:val="00730ECD"/>
    <w:rsid w:val="0074631E"/>
    <w:rsid w:val="007534AF"/>
    <w:rsid w:val="00755958"/>
    <w:rsid w:val="00762B84"/>
    <w:rsid w:val="0076766B"/>
    <w:rsid w:val="007678C0"/>
    <w:rsid w:val="007A4BA9"/>
    <w:rsid w:val="007D4C5D"/>
    <w:rsid w:val="007E3509"/>
    <w:rsid w:val="00802F01"/>
    <w:rsid w:val="00812356"/>
    <w:rsid w:val="0081451C"/>
    <w:rsid w:val="0082506C"/>
    <w:rsid w:val="008250CF"/>
    <w:rsid w:val="00825D58"/>
    <w:rsid w:val="008905D2"/>
    <w:rsid w:val="008D795D"/>
    <w:rsid w:val="00926C87"/>
    <w:rsid w:val="0094192D"/>
    <w:rsid w:val="0095075F"/>
    <w:rsid w:val="00952623"/>
    <w:rsid w:val="00971026"/>
    <w:rsid w:val="00982417"/>
    <w:rsid w:val="00996C99"/>
    <w:rsid w:val="009A0F3B"/>
    <w:rsid w:val="009A7119"/>
    <w:rsid w:val="009B1AF8"/>
    <w:rsid w:val="009E5506"/>
    <w:rsid w:val="009F3C14"/>
    <w:rsid w:val="00A039C0"/>
    <w:rsid w:val="00A066E7"/>
    <w:rsid w:val="00A127DE"/>
    <w:rsid w:val="00A300E7"/>
    <w:rsid w:val="00A51102"/>
    <w:rsid w:val="00A679C1"/>
    <w:rsid w:val="00A73F1D"/>
    <w:rsid w:val="00AA4E4A"/>
    <w:rsid w:val="00AA55F4"/>
    <w:rsid w:val="00AB4041"/>
    <w:rsid w:val="00AC0EE8"/>
    <w:rsid w:val="00AD4FA1"/>
    <w:rsid w:val="00AD641F"/>
    <w:rsid w:val="00AD65D2"/>
    <w:rsid w:val="00AE7494"/>
    <w:rsid w:val="00B02377"/>
    <w:rsid w:val="00B032B4"/>
    <w:rsid w:val="00B04164"/>
    <w:rsid w:val="00B41997"/>
    <w:rsid w:val="00B5161F"/>
    <w:rsid w:val="00B52D7F"/>
    <w:rsid w:val="00B87DE1"/>
    <w:rsid w:val="00BF6600"/>
    <w:rsid w:val="00C232DE"/>
    <w:rsid w:val="00C35375"/>
    <w:rsid w:val="00C37E35"/>
    <w:rsid w:val="00C529D8"/>
    <w:rsid w:val="00C73AE5"/>
    <w:rsid w:val="00C9103B"/>
    <w:rsid w:val="00CA319E"/>
    <w:rsid w:val="00CC36E0"/>
    <w:rsid w:val="00D01D8C"/>
    <w:rsid w:val="00D046EE"/>
    <w:rsid w:val="00D07261"/>
    <w:rsid w:val="00D47A92"/>
    <w:rsid w:val="00D723C0"/>
    <w:rsid w:val="00D7365B"/>
    <w:rsid w:val="00D86C4D"/>
    <w:rsid w:val="00D86D11"/>
    <w:rsid w:val="00D86D4A"/>
    <w:rsid w:val="00DB69E8"/>
    <w:rsid w:val="00DC1722"/>
    <w:rsid w:val="00E017DB"/>
    <w:rsid w:val="00E05760"/>
    <w:rsid w:val="00E20124"/>
    <w:rsid w:val="00E27914"/>
    <w:rsid w:val="00E3000C"/>
    <w:rsid w:val="00E311DC"/>
    <w:rsid w:val="00E32D73"/>
    <w:rsid w:val="00E41345"/>
    <w:rsid w:val="00E45484"/>
    <w:rsid w:val="00EA064C"/>
    <w:rsid w:val="00EA0FBE"/>
    <w:rsid w:val="00EA2B21"/>
    <w:rsid w:val="00ED4600"/>
    <w:rsid w:val="00EE066B"/>
    <w:rsid w:val="00EF4F1F"/>
    <w:rsid w:val="00F04A93"/>
    <w:rsid w:val="00F22DD6"/>
    <w:rsid w:val="00F245F7"/>
    <w:rsid w:val="00F24EFC"/>
    <w:rsid w:val="00F66FF8"/>
    <w:rsid w:val="00F84835"/>
    <w:rsid w:val="00F928F2"/>
    <w:rsid w:val="00F9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16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5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1026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aliases w:val="Indent Paragraph,Grey Bullet List,Grey Bullet Style,References,Riana Table Bullets 1"/>
    <w:basedOn w:val="Normal"/>
    <w:link w:val="ListParagraphChar"/>
    <w:uiPriority w:val="34"/>
    <w:qFormat/>
    <w:rsid w:val="005E7BFC"/>
    <w:pPr>
      <w:widowControl w:val="0"/>
      <w:spacing w:after="0" w:line="240" w:lineRule="auto"/>
      <w:ind w:left="720"/>
    </w:pPr>
    <w:rPr>
      <w:rFonts w:ascii="Univers" w:eastAsia="Times New Roman" w:hAnsi="Univers"/>
      <w:snapToGrid w:val="0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5E7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BFC"/>
    <w:pPr>
      <w:spacing w:after="200"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link w:val="CommentText"/>
    <w:uiPriority w:val="99"/>
    <w:semiHidden/>
    <w:rsid w:val="005E7BFC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2B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2B2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62B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2B26"/>
    <w:rPr>
      <w:sz w:val="22"/>
      <w:szCs w:val="22"/>
      <w:lang w:val="en-GB" w:eastAsia="en-US"/>
    </w:rPr>
  </w:style>
  <w:style w:type="character" w:customStyle="1" w:styleId="ListParagraphChar">
    <w:name w:val="List Paragraph Char"/>
    <w:aliases w:val="Indent Paragraph Char,Grey Bullet List Char,Grey Bullet Style Char,References Char,Riana Table Bullets 1 Char"/>
    <w:link w:val="ListParagraph"/>
    <w:uiPriority w:val="34"/>
    <w:rsid w:val="00197A9F"/>
    <w:rPr>
      <w:rFonts w:ascii="Univers" w:eastAsia="Times New Roman" w:hAnsi="Univers"/>
      <w:snapToGrid w:val="0"/>
      <w:sz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B58"/>
    <w:pPr>
      <w:spacing w:after="160" w:line="259" w:lineRule="auto"/>
    </w:pPr>
    <w:rPr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3A4B58"/>
    <w:rPr>
      <w:b/>
      <w:bCs/>
      <w:lang w:val="en-GB" w:eastAsia="en-US"/>
    </w:rPr>
  </w:style>
  <w:style w:type="paragraph" w:customStyle="1" w:styleId="Default">
    <w:name w:val="Default"/>
    <w:rsid w:val="000D20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16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5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1026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aliases w:val="Indent Paragraph,Grey Bullet List,Grey Bullet Style,References,Riana Table Bullets 1"/>
    <w:basedOn w:val="Normal"/>
    <w:link w:val="ListParagraphChar"/>
    <w:uiPriority w:val="34"/>
    <w:qFormat/>
    <w:rsid w:val="005E7BFC"/>
    <w:pPr>
      <w:widowControl w:val="0"/>
      <w:spacing w:after="0" w:line="240" w:lineRule="auto"/>
      <w:ind w:left="720"/>
    </w:pPr>
    <w:rPr>
      <w:rFonts w:ascii="Univers" w:eastAsia="Times New Roman" w:hAnsi="Univers"/>
      <w:snapToGrid w:val="0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5E7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BFC"/>
    <w:pPr>
      <w:spacing w:after="200"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link w:val="CommentText"/>
    <w:uiPriority w:val="99"/>
    <w:semiHidden/>
    <w:rsid w:val="005E7BFC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2B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2B2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62B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2B26"/>
    <w:rPr>
      <w:sz w:val="22"/>
      <w:szCs w:val="22"/>
      <w:lang w:val="en-GB" w:eastAsia="en-US"/>
    </w:rPr>
  </w:style>
  <w:style w:type="character" w:customStyle="1" w:styleId="ListParagraphChar">
    <w:name w:val="List Paragraph Char"/>
    <w:aliases w:val="Indent Paragraph Char,Grey Bullet List Char,Grey Bullet Style Char,References Char,Riana Table Bullets 1 Char"/>
    <w:link w:val="ListParagraph"/>
    <w:uiPriority w:val="34"/>
    <w:rsid w:val="00197A9F"/>
    <w:rPr>
      <w:rFonts w:ascii="Univers" w:eastAsia="Times New Roman" w:hAnsi="Univers"/>
      <w:snapToGrid w:val="0"/>
      <w:sz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B58"/>
    <w:pPr>
      <w:spacing w:after="160" w:line="259" w:lineRule="auto"/>
    </w:pPr>
    <w:rPr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3A4B58"/>
    <w:rPr>
      <w:b/>
      <w:bCs/>
      <w:lang w:val="en-GB" w:eastAsia="en-US"/>
    </w:rPr>
  </w:style>
  <w:style w:type="paragraph" w:customStyle="1" w:styleId="Default">
    <w:name w:val="Default"/>
    <w:rsid w:val="000D20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otices and Circulars" ma:contentTypeID="0x01010025A8B514A743974EAD575655CE652373230045CF30CB7261244CB41040284711438F" ma:contentTypeVersion="4" ma:contentTypeDescription="Create a new document." ma:contentTypeScope="" ma:versionID="94dd347937516a46c7477de23782ded9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05dcbcd993ee2e31850cef89e0f63149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2:JSE_x0020_Market" minOccurs="0"/>
                <xsd:element ref="ns2:JSE_x0020_Market_x0020_Notices_x0020_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  <xsd:element name="JSE_x0020_Market" ma:index="16" nillable="true" ma:displayName="JSE Market" ma:description="JSE Market and Services list used by Trading and Services." ma:internalName="JSE_x0020_Mark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quity Market"/>
                    <xsd:enumeration value="Currency Derivatives"/>
                    <xsd:enumeration value="Equity Derivatives"/>
                    <xsd:enumeration value="Interest Rate"/>
                    <xsd:enumeration value="Commodity Derivatives"/>
                    <xsd:enumeration value="JSE Broker Deal Accounting"/>
                    <xsd:enumeration value="End of Day Products"/>
                    <xsd:enumeration value="Colocation"/>
                    <xsd:enumeration value="All Markets"/>
                    <xsd:enumeration value="All Derivative Markets"/>
                  </xsd:restriction>
                </xsd:simpleType>
              </xsd:element>
            </xsd:sequence>
          </xsd:extension>
        </xsd:complexContent>
      </xsd:complexType>
    </xsd:element>
    <xsd:element name="JSE_x0020_Market_x0020_Notices_x0020_Number" ma:index="17" ma:displayName="JSE Market Notice Number" ma:internalName="JSE_x0020_Market_x0020_Notices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>Questionnaire OTC Derivative Transactions</JSEDescription>
    <JSEDate xmlns="a5d7cc70-31c1-4b2e-9a12-faea9898ee50">2018-05-21T07:25:00+00:00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Notices</TermName>
          <TermId xmlns="http://schemas.microsoft.com/office/infopath/2007/PartnerControls">a2768ee6-7148-4295-b6d9-dfedd685cfdb</TermId>
        </TermInfo>
      </Terms>
    </j50c28d78dcf4727baa6c3ad504fae7e>
    <JSE_x0020_Market_x0020_Notices_x0020_Number xmlns="a5d7cc70-31c1-4b2e-9a12-faea9898ee50">186B</JSE_x0020_Market_x0020_Notices_x0020_Number>
    <JSEDisplayPriority xmlns="a5d7cc70-31c1-4b2e-9a12-faea9898ee50" xsi:nil="true"/>
    <JSE_x0020_Market xmlns="a5d7cc70-31c1-4b2e-9a12-faea9898ee50">
      <Value>All Markets</Value>
    </JSE_x0020_Market>
    <TaxCatchAll xmlns="a5d7cc70-31c1-4b2e-9a12-faea9898ee50">
      <Value>270</Value>
    </TaxCatchAll>
  </documentManagement>
</p:properties>
</file>

<file path=customXml/itemProps1.xml><?xml version="1.0" encoding="utf-8"?>
<ds:datastoreItem xmlns:ds="http://schemas.openxmlformats.org/officeDocument/2006/customXml" ds:itemID="{4C7C6774-D653-4627-9DF9-A6E1E329CD80}"/>
</file>

<file path=customXml/itemProps2.xml><?xml version="1.0" encoding="utf-8"?>
<ds:datastoreItem xmlns:ds="http://schemas.openxmlformats.org/officeDocument/2006/customXml" ds:itemID="{1D6CB125-67A3-465E-B367-1BE1ED247DBC}"/>
</file>

<file path=customXml/itemProps3.xml><?xml version="1.0" encoding="utf-8"?>
<ds:datastoreItem xmlns:ds="http://schemas.openxmlformats.org/officeDocument/2006/customXml" ds:itemID="{34315178-EACF-41C8-9DF3-1A0870CCB18E}"/>
</file>

<file path=customXml/itemProps4.xml><?xml version="1.0" encoding="utf-8"?>
<ds:datastoreItem xmlns:ds="http://schemas.openxmlformats.org/officeDocument/2006/customXml" ds:itemID="{A99DFA1C-88CA-49E5-A1BA-62DE86AEC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7845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A Reserve Bank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186B</dc:title>
  <dc:creator>Lynne Thomas</dc:creator>
  <cp:lastModifiedBy>Anne Clayton</cp:lastModifiedBy>
  <cp:revision>2</cp:revision>
  <cp:lastPrinted>2018-05-08T06:18:00Z</cp:lastPrinted>
  <dcterms:created xsi:type="dcterms:W3CDTF">2018-05-21T05:04:00Z</dcterms:created>
  <dcterms:modified xsi:type="dcterms:W3CDTF">2018-05-21T05:04:00Z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0x01010025A8B514A743974EAD575655CE652373230045CF30CB7261244CB41040284711438F</vt:lpwstr>
  </property>
  <property fmtid="{D5CDD505-2E9C-101B-9397-08002B2CF9AE}" pid="3" name="JSENavigation">
    <vt:lpwstr>270;#Market Notices|a2768ee6-7148-4295-b6d9-dfedd685cfdb</vt:lpwstr>
  </property>
</Properties>
</file>