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9F97A" w14:textId="15FFF795" w:rsidR="009A4840" w:rsidRDefault="00BE6445" w:rsidP="009A4840">
      <w:pPr>
        <w:jc w:val="center"/>
        <w:rPr>
          <w:b/>
          <w:sz w:val="24"/>
        </w:rPr>
      </w:pPr>
      <w:r>
        <w:rPr>
          <w:b/>
          <w:sz w:val="24"/>
        </w:rPr>
        <w:t>Part 1</w:t>
      </w:r>
      <w:r w:rsidR="00FF078F">
        <w:rPr>
          <w:b/>
          <w:sz w:val="24"/>
        </w:rPr>
        <w:t>A</w:t>
      </w:r>
      <w:r>
        <w:rPr>
          <w:b/>
          <w:sz w:val="24"/>
        </w:rPr>
        <w:t xml:space="preserve"> of 2018 A</w:t>
      </w:r>
      <w:r w:rsidR="009A4840" w:rsidRPr="00987E46">
        <w:rPr>
          <w:b/>
          <w:sz w:val="24"/>
        </w:rPr>
        <w:t>mendments to the JSE Debt Listings Requirements</w:t>
      </w:r>
    </w:p>
    <w:p w14:paraId="441A14C5" w14:textId="2AA47919" w:rsidR="00BE6445" w:rsidRDefault="009A0AC9" w:rsidP="00BE6445">
      <w:pPr>
        <w:jc w:val="center"/>
        <w:rPr>
          <w:b/>
          <w:sz w:val="24"/>
        </w:rPr>
      </w:pPr>
      <w:r>
        <w:rPr>
          <w:b/>
          <w:sz w:val="24"/>
        </w:rPr>
        <w:t xml:space="preserve">April </w:t>
      </w:r>
      <w:r w:rsidR="00BE6445">
        <w:rPr>
          <w:b/>
          <w:sz w:val="24"/>
        </w:rPr>
        <w:t>2018</w:t>
      </w:r>
    </w:p>
    <w:p w14:paraId="0B1FAAF2" w14:textId="77777777" w:rsidR="009A4840" w:rsidRDefault="009A4840" w:rsidP="009A4840">
      <w:pPr>
        <w:rPr>
          <w:b/>
          <w:i/>
          <w:sz w:val="24"/>
        </w:rPr>
      </w:pPr>
    </w:p>
    <w:p w14:paraId="18FADB96" w14:textId="62C01FB8" w:rsidR="009A4840" w:rsidRPr="009A4840" w:rsidRDefault="004E0BC6" w:rsidP="009A4840">
      <w:pPr>
        <w:jc w:val="center"/>
        <w:rPr>
          <w:b/>
          <w:szCs w:val="20"/>
          <w:lang w:val="en-ZA"/>
        </w:rPr>
      </w:pPr>
      <w:r>
        <w:rPr>
          <w:color w:val="FF0000"/>
          <w:sz w:val="24"/>
        </w:rPr>
        <w:pict w14:anchorId="668B5969">
          <v:rect id="_x0000_i1025" style="width:700.1pt;height:3pt;mso-position-vertical:absolute" o:hralign="center" o:hrstd="t" o:hrnoshade="t" o:hr="t" fillcolor="black [3213]" stroked="f"/>
        </w:pict>
      </w:r>
    </w:p>
    <w:p w14:paraId="0A7088CD" w14:textId="77777777" w:rsidR="00DC40EF" w:rsidRDefault="00DC40EF" w:rsidP="003C697A">
      <w:pPr>
        <w:rPr>
          <w:b/>
          <w:szCs w:val="20"/>
          <w:lang w:val="en-ZA"/>
        </w:rPr>
      </w:pPr>
    </w:p>
    <w:p w14:paraId="60998CC4" w14:textId="77777777" w:rsidR="009A4840" w:rsidRDefault="009A4840" w:rsidP="009A4840"/>
    <w:tbl>
      <w:tblPr>
        <w:tblStyle w:val="TableGrid"/>
        <w:tblW w:w="13196" w:type="dxa"/>
        <w:tblInd w:w="108" w:type="dxa"/>
        <w:tblLook w:val="04A0" w:firstRow="1" w:lastRow="0" w:firstColumn="1" w:lastColumn="0" w:noHBand="0" w:noVBand="1"/>
      </w:tblPr>
      <w:tblGrid>
        <w:gridCol w:w="668"/>
        <w:gridCol w:w="2513"/>
        <w:gridCol w:w="5279"/>
        <w:gridCol w:w="4736"/>
      </w:tblGrid>
      <w:tr w:rsidR="009A4840" w:rsidRPr="00987E46" w14:paraId="4BA396F0" w14:textId="77777777" w:rsidTr="009C7641">
        <w:tc>
          <w:tcPr>
            <w:tcW w:w="668" w:type="dxa"/>
          </w:tcPr>
          <w:p w14:paraId="75813191" w14:textId="77777777" w:rsidR="009A4840" w:rsidRPr="00987E46" w:rsidRDefault="009A4840" w:rsidP="009C7641">
            <w:pPr>
              <w:jc w:val="left"/>
              <w:rPr>
                <w:b/>
                <w:sz w:val="22"/>
              </w:rPr>
            </w:pPr>
            <w:r w:rsidRPr="00987E46">
              <w:rPr>
                <w:b/>
                <w:sz w:val="22"/>
              </w:rPr>
              <w:t>Item</w:t>
            </w:r>
          </w:p>
        </w:tc>
        <w:tc>
          <w:tcPr>
            <w:tcW w:w="2513" w:type="dxa"/>
          </w:tcPr>
          <w:p w14:paraId="78576EC6" w14:textId="77777777" w:rsidR="009A4840" w:rsidRPr="00987E46" w:rsidRDefault="009A4840" w:rsidP="009C7641">
            <w:pPr>
              <w:jc w:val="left"/>
              <w:rPr>
                <w:b/>
                <w:sz w:val="22"/>
              </w:rPr>
            </w:pPr>
            <w:r w:rsidRPr="00987E46">
              <w:rPr>
                <w:b/>
                <w:sz w:val="22"/>
              </w:rPr>
              <w:t>Section</w:t>
            </w:r>
          </w:p>
        </w:tc>
        <w:tc>
          <w:tcPr>
            <w:tcW w:w="5279" w:type="dxa"/>
          </w:tcPr>
          <w:p w14:paraId="4D419FBC" w14:textId="77777777" w:rsidR="009A4840" w:rsidRPr="00987E46" w:rsidRDefault="009A4840" w:rsidP="009C7641">
            <w:pPr>
              <w:jc w:val="left"/>
              <w:rPr>
                <w:b/>
                <w:sz w:val="22"/>
              </w:rPr>
            </w:pPr>
            <w:r w:rsidRPr="00987E46">
              <w:rPr>
                <w:b/>
                <w:sz w:val="22"/>
              </w:rPr>
              <w:t>Proposed Amendment</w:t>
            </w:r>
          </w:p>
        </w:tc>
        <w:tc>
          <w:tcPr>
            <w:tcW w:w="4736" w:type="dxa"/>
          </w:tcPr>
          <w:p w14:paraId="6999C83C" w14:textId="77777777" w:rsidR="009A4840" w:rsidRPr="00987E46" w:rsidRDefault="009A4840" w:rsidP="009C7641">
            <w:pPr>
              <w:jc w:val="left"/>
              <w:rPr>
                <w:b/>
                <w:sz w:val="22"/>
              </w:rPr>
            </w:pPr>
            <w:r w:rsidRPr="00987E46">
              <w:rPr>
                <w:b/>
                <w:sz w:val="22"/>
              </w:rPr>
              <w:t>Nature of amendment and rationale</w:t>
            </w:r>
          </w:p>
        </w:tc>
      </w:tr>
      <w:tr w:rsidR="00493F21" w:rsidRPr="00987E46" w14:paraId="7A27FEB6" w14:textId="77777777" w:rsidTr="009C7641">
        <w:tc>
          <w:tcPr>
            <w:tcW w:w="668" w:type="dxa"/>
          </w:tcPr>
          <w:p w14:paraId="0E3FEE22" w14:textId="77777777" w:rsidR="00493F21" w:rsidRPr="00987E46" w:rsidRDefault="00493F21" w:rsidP="009A4840">
            <w:pPr>
              <w:pStyle w:val="ListParagraph"/>
              <w:numPr>
                <w:ilvl w:val="0"/>
                <w:numId w:val="28"/>
              </w:numPr>
              <w:spacing w:line="240" w:lineRule="auto"/>
              <w:jc w:val="left"/>
              <w:rPr>
                <w:b/>
                <w:sz w:val="22"/>
              </w:rPr>
            </w:pPr>
          </w:p>
        </w:tc>
        <w:tc>
          <w:tcPr>
            <w:tcW w:w="2513" w:type="dxa"/>
          </w:tcPr>
          <w:p w14:paraId="459F5156" w14:textId="6B637E3B" w:rsidR="00493F21" w:rsidRDefault="00493F21" w:rsidP="009C7641">
            <w:pPr>
              <w:jc w:val="left"/>
              <w:rPr>
                <w:b/>
                <w:sz w:val="22"/>
              </w:rPr>
            </w:pPr>
            <w:r>
              <w:rPr>
                <w:b/>
                <w:sz w:val="22"/>
              </w:rPr>
              <w:t>Definitions</w:t>
            </w:r>
          </w:p>
        </w:tc>
        <w:tc>
          <w:tcPr>
            <w:tcW w:w="5279" w:type="dxa"/>
          </w:tcPr>
          <w:p w14:paraId="0C0038EC" w14:textId="506003B9" w:rsidR="00493F21" w:rsidRPr="00493F21" w:rsidRDefault="00493F21" w:rsidP="00BE6445">
            <w:pPr>
              <w:rPr>
                <w:sz w:val="22"/>
              </w:rPr>
            </w:pPr>
            <w:r>
              <w:rPr>
                <w:sz w:val="22"/>
              </w:rPr>
              <w:t>Certain new definitions were inserted as a consequence of the amendments proposed below.</w:t>
            </w:r>
          </w:p>
        </w:tc>
        <w:tc>
          <w:tcPr>
            <w:tcW w:w="4736" w:type="dxa"/>
          </w:tcPr>
          <w:p w14:paraId="7F945FB1" w14:textId="3C595BF3" w:rsidR="00493F21" w:rsidRDefault="00493F21" w:rsidP="00BE6445">
            <w:pPr>
              <w:rPr>
                <w:sz w:val="22"/>
              </w:rPr>
            </w:pPr>
            <w:r>
              <w:rPr>
                <w:sz w:val="22"/>
              </w:rPr>
              <w:t>Certain new definitions were inserted as a consequence of the amendments proposed below.</w:t>
            </w:r>
          </w:p>
        </w:tc>
      </w:tr>
      <w:tr w:rsidR="009208E2" w:rsidRPr="00987E46" w14:paraId="3BD1E55F" w14:textId="77777777" w:rsidTr="009C7641">
        <w:tc>
          <w:tcPr>
            <w:tcW w:w="668" w:type="dxa"/>
          </w:tcPr>
          <w:p w14:paraId="02FBB783" w14:textId="77777777" w:rsidR="009208E2" w:rsidRPr="00987E46" w:rsidRDefault="009208E2" w:rsidP="009A4840">
            <w:pPr>
              <w:pStyle w:val="ListParagraph"/>
              <w:numPr>
                <w:ilvl w:val="0"/>
                <w:numId w:val="28"/>
              </w:numPr>
              <w:spacing w:line="240" w:lineRule="auto"/>
              <w:jc w:val="left"/>
              <w:rPr>
                <w:b/>
                <w:sz w:val="22"/>
              </w:rPr>
            </w:pPr>
          </w:p>
        </w:tc>
        <w:tc>
          <w:tcPr>
            <w:tcW w:w="2513" w:type="dxa"/>
          </w:tcPr>
          <w:p w14:paraId="0DBBD95C" w14:textId="51FC836A" w:rsidR="009208E2" w:rsidRDefault="009208E2" w:rsidP="009C7641">
            <w:pPr>
              <w:jc w:val="left"/>
              <w:rPr>
                <w:b/>
                <w:sz w:val="22"/>
              </w:rPr>
            </w:pPr>
            <w:r>
              <w:rPr>
                <w:b/>
                <w:sz w:val="22"/>
              </w:rPr>
              <w:t>Section 4</w:t>
            </w:r>
          </w:p>
        </w:tc>
        <w:tc>
          <w:tcPr>
            <w:tcW w:w="5279" w:type="dxa"/>
          </w:tcPr>
          <w:p w14:paraId="1267BF87" w14:textId="77777777" w:rsidR="009208E2" w:rsidRPr="00B8134B" w:rsidRDefault="009208E2" w:rsidP="00BE6445">
            <w:pPr>
              <w:rPr>
                <w:b/>
                <w:sz w:val="22"/>
              </w:rPr>
            </w:pPr>
            <w:r w:rsidRPr="00B8134B">
              <w:rPr>
                <w:b/>
                <w:sz w:val="22"/>
              </w:rPr>
              <w:t>Offering circular or pricing supplement</w:t>
            </w:r>
          </w:p>
          <w:p w14:paraId="312B4CE0" w14:textId="77777777" w:rsidR="009208E2" w:rsidRDefault="009208E2" w:rsidP="00BE6445">
            <w:pPr>
              <w:rPr>
                <w:b/>
                <w:sz w:val="22"/>
              </w:rPr>
            </w:pPr>
          </w:p>
          <w:p w14:paraId="6530F501" w14:textId="77777777" w:rsidR="009208E2" w:rsidRDefault="009208E2" w:rsidP="00BE6445">
            <w:pPr>
              <w:rPr>
                <w:b/>
                <w:sz w:val="22"/>
              </w:rPr>
            </w:pPr>
            <w:r>
              <w:rPr>
                <w:b/>
                <w:sz w:val="22"/>
              </w:rPr>
              <w:t>Amended paragraph 4.22(</w:t>
            </w:r>
            <w:proofErr w:type="spellStart"/>
            <w:r>
              <w:rPr>
                <w:b/>
                <w:sz w:val="22"/>
              </w:rPr>
              <w:t>dd</w:t>
            </w:r>
            <w:proofErr w:type="spellEnd"/>
            <w:r>
              <w:rPr>
                <w:b/>
                <w:sz w:val="22"/>
              </w:rPr>
              <w:t>)</w:t>
            </w:r>
          </w:p>
          <w:p w14:paraId="43D94EA0" w14:textId="77777777" w:rsidR="009208E2" w:rsidRDefault="009208E2" w:rsidP="00BE6445">
            <w:pPr>
              <w:rPr>
                <w:b/>
                <w:sz w:val="22"/>
              </w:rPr>
            </w:pPr>
          </w:p>
          <w:p w14:paraId="23D906C4" w14:textId="77777777" w:rsidR="009208E2" w:rsidRDefault="009208E2" w:rsidP="00BE6445">
            <w:pPr>
              <w:rPr>
                <w:sz w:val="22"/>
              </w:rPr>
            </w:pPr>
            <w:r>
              <w:rPr>
                <w:sz w:val="22"/>
              </w:rPr>
              <w:t>This paragraph was amended to request the insertion of the URL address, where the report produced by issuers (“</w:t>
            </w:r>
            <w:r w:rsidRPr="009208E2">
              <w:rPr>
                <w:b/>
                <w:sz w:val="22"/>
              </w:rPr>
              <w:t>investor report</w:t>
            </w:r>
            <w:r>
              <w:rPr>
                <w:sz w:val="22"/>
              </w:rPr>
              <w:t>”) will be available, to be included in the pricing supplement or offering circular.</w:t>
            </w:r>
          </w:p>
          <w:p w14:paraId="7A8E5DCF" w14:textId="3F965AAC" w:rsidR="005B30FD" w:rsidRPr="009208E2" w:rsidRDefault="005B30FD" w:rsidP="00BE6445">
            <w:pPr>
              <w:rPr>
                <w:sz w:val="22"/>
              </w:rPr>
            </w:pPr>
          </w:p>
        </w:tc>
        <w:tc>
          <w:tcPr>
            <w:tcW w:w="4736" w:type="dxa"/>
          </w:tcPr>
          <w:p w14:paraId="42B1D8AB" w14:textId="07F73E0E" w:rsidR="009208E2" w:rsidRPr="00B8134B" w:rsidRDefault="009208E2" w:rsidP="00BE6445">
            <w:pPr>
              <w:rPr>
                <w:sz w:val="22"/>
              </w:rPr>
            </w:pPr>
            <w:r>
              <w:rPr>
                <w:sz w:val="22"/>
              </w:rPr>
              <w:t>This amendment was made to clarify that the website address of the investor report must be included in the pricing supplement or offering circular.</w:t>
            </w:r>
          </w:p>
        </w:tc>
      </w:tr>
      <w:tr w:rsidR="006802C9" w:rsidRPr="00987E46" w14:paraId="349D3376" w14:textId="77777777" w:rsidTr="009C7641">
        <w:tc>
          <w:tcPr>
            <w:tcW w:w="668" w:type="dxa"/>
          </w:tcPr>
          <w:p w14:paraId="5C3E4131" w14:textId="22341A15" w:rsidR="006802C9" w:rsidRPr="00987E46" w:rsidRDefault="006802C9" w:rsidP="009A4840">
            <w:pPr>
              <w:pStyle w:val="ListParagraph"/>
              <w:numPr>
                <w:ilvl w:val="0"/>
                <w:numId w:val="28"/>
              </w:numPr>
              <w:spacing w:line="240" w:lineRule="auto"/>
              <w:jc w:val="left"/>
              <w:rPr>
                <w:b/>
                <w:sz w:val="22"/>
              </w:rPr>
            </w:pPr>
          </w:p>
        </w:tc>
        <w:tc>
          <w:tcPr>
            <w:tcW w:w="2513" w:type="dxa"/>
          </w:tcPr>
          <w:p w14:paraId="5B57E5CB" w14:textId="2098656A" w:rsidR="006802C9" w:rsidRDefault="006802C9" w:rsidP="009C7641">
            <w:pPr>
              <w:jc w:val="left"/>
              <w:rPr>
                <w:b/>
                <w:sz w:val="22"/>
              </w:rPr>
            </w:pPr>
            <w:r>
              <w:rPr>
                <w:b/>
                <w:sz w:val="22"/>
              </w:rPr>
              <w:t>Section 4</w:t>
            </w:r>
          </w:p>
        </w:tc>
        <w:tc>
          <w:tcPr>
            <w:tcW w:w="5279" w:type="dxa"/>
          </w:tcPr>
          <w:p w14:paraId="11775573" w14:textId="77777777" w:rsidR="006802C9" w:rsidRPr="00B8134B" w:rsidRDefault="006802C9" w:rsidP="00BE6445">
            <w:pPr>
              <w:rPr>
                <w:b/>
                <w:sz w:val="22"/>
              </w:rPr>
            </w:pPr>
            <w:r w:rsidRPr="00B8134B">
              <w:rPr>
                <w:b/>
                <w:sz w:val="22"/>
              </w:rPr>
              <w:t>Offering circular or pricing supplement</w:t>
            </w:r>
          </w:p>
          <w:p w14:paraId="2A15CA43" w14:textId="77777777" w:rsidR="006802C9" w:rsidRPr="00B8134B" w:rsidRDefault="006802C9" w:rsidP="00BE6445">
            <w:pPr>
              <w:rPr>
                <w:b/>
                <w:sz w:val="22"/>
              </w:rPr>
            </w:pPr>
          </w:p>
          <w:p w14:paraId="20FD29A2" w14:textId="77777777" w:rsidR="006802C9" w:rsidRPr="00B8134B" w:rsidRDefault="006802C9" w:rsidP="00BE6445">
            <w:pPr>
              <w:rPr>
                <w:b/>
                <w:sz w:val="22"/>
              </w:rPr>
            </w:pPr>
            <w:r w:rsidRPr="00B8134B">
              <w:rPr>
                <w:b/>
                <w:sz w:val="22"/>
              </w:rPr>
              <w:t xml:space="preserve">New paragraph </w:t>
            </w:r>
            <w:r>
              <w:rPr>
                <w:b/>
                <w:sz w:val="22"/>
              </w:rPr>
              <w:t>4.22(</w:t>
            </w:r>
            <w:proofErr w:type="spellStart"/>
            <w:r>
              <w:rPr>
                <w:b/>
                <w:sz w:val="22"/>
              </w:rPr>
              <w:t>ff</w:t>
            </w:r>
            <w:proofErr w:type="spellEnd"/>
            <w:r>
              <w:rPr>
                <w:b/>
                <w:sz w:val="22"/>
              </w:rPr>
              <w:t>)</w:t>
            </w:r>
          </w:p>
          <w:p w14:paraId="2B32F5A8" w14:textId="77777777" w:rsidR="006802C9" w:rsidRDefault="006802C9" w:rsidP="00BE6445">
            <w:pPr>
              <w:rPr>
                <w:sz w:val="22"/>
              </w:rPr>
            </w:pPr>
          </w:p>
          <w:p w14:paraId="5D0704A6" w14:textId="77777777" w:rsidR="006802C9" w:rsidRDefault="006802C9" w:rsidP="00BE6445">
            <w:pPr>
              <w:rPr>
                <w:sz w:val="22"/>
              </w:rPr>
            </w:pPr>
            <w:r>
              <w:rPr>
                <w:sz w:val="22"/>
              </w:rPr>
              <w:t>New paragraphs were introduced to require the insertion of specific definitions for Interest Period, Interest Payment Dates and Interest Rate Determination Dates in offering circulars and pricing supplements.</w:t>
            </w:r>
          </w:p>
          <w:p w14:paraId="714A2D3E" w14:textId="77777777" w:rsidR="006802C9" w:rsidRDefault="006802C9" w:rsidP="00BE6445">
            <w:pPr>
              <w:rPr>
                <w:sz w:val="22"/>
              </w:rPr>
            </w:pPr>
          </w:p>
          <w:p w14:paraId="5617734A" w14:textId="77777777" w:rsidR="006802C9" w:rsidRPr="009A4840" w:rsidRDefault="006802C9" w:rsidP="00BE6445">
            <w:pPr>
              <w:rPr>
                <w:sz w:val="22"/>
              </w:rPr>
            </w:pPr>
          </w:p>
        </w:tc>
        <w:tc>
          <w:tcPr>
            <w:tcW w:w="4736" w:type="dxa"/>
          </w:tcPr>
          <w:p w14:paraId="45B694AA" w14:textId="77777777" w:rsidR="006802C9" w:rsidRDefault="006802C9" w:rsidP="00BE6445">
            <w:pPr>
              <w:rPr>
                <w:sz w:val="22"/>
              </w:rPr>
            </w:pPr>
            <w:r w:rsidRPr="00B8134B">
              <w:rPr>
                <w:sz w:val="22"/>
              </w:rPr>
              <w:t xml:space="preserve">There is a serious concern in the market regarding the payment of interest by </w:t>
            </w:r>
            <w:r>
              <w:rPr>
                <w:sz w:val="22"/>
              </w:rPr>
              <w:t>issuers</w:t>
            </w:r>
            <w:r w:rsidRPr="00B8134B">
              <w:rPr>
                <w:sz w:val="22"/>
              </w:rPr>
              <w:t xml:space="preserve"> o</w:t>
            </w:r>
            <w:r>
              <w:rPr>
                <w:sz w:val="22"/>
              </w:rPr>
              <w:t>n floating rate debt securities, stemming from</w:t>
            </w:r>
            <w:r w:rsidRPr="00B8134B">
              <w:rPr>
                <w:sz w:val="22"/>
              </w:rPr>
              <w:t xml:space="preserve"> the</w:t>
            </w:r>
            <w:r>
              <w:rPr>
                <w:sz w:val="22"/>
              </w:rPr>
              <w:t xml:space="preserve"> differing</w:t>
            </w:r>
            <w:r w:rsidRPr="00B8134B">
              <w:rPr>
                <w:sz w:val="22"/>
              </w:rPr>
              <w:t xml:space="preserve"> application</w:t>
            </w:r>
            <w:r>
              <w:rPr>
                <w:sz w:val="22"/>
              </w:rPr>
              <w:t>s</w:t>
            </w:r>
            <w:r w:rsidRPr="00B8134B">
              <w:rPr>
                <w:sz w:val="22"/>
              </w:rPr>
              <w:t xml:space="preserve"> of the Following Business Day and Modified Following Business Day conventions when the interest payment date falls on a non-business day (e.g. Saturday, Sunday or public holiday). In certain cases, </w:t>
            </w:r>
            <w:r>
              <w:rPr>
                <w:sz w:val="22"/>
              </w:rPr>
              <w:t>issuers</w:t>
            </w:r>
            <w:r w:rsidRPr="00B8134B">
              <w:rPr>
                <w:sz w:val="22"/>
              </w:rPr>
              <w:t xml:space="preserve"> accrue interest up to the calendar day before the payment date </w:t>
            </w:r>
            <w:r>
              <w:rPr>
                <w:sz w:val="22"/>
              </w:rPr>
              <w:t xml:space="preserve">where other issuers do not, which has affected </w:t>
            </w:r>
            <w:r w:rsidRPr="00B8134B">
              <w:rPr>
                <w:sz w:val="22"/>
              </w:rPr>
              <w:t xml:space="preserve">entitlement calculations. </w:t>
            </w:r>
            <w:r>
              <w:rPr>
                <w:sz w:val="22"/>
              </w:rPr>
              <w:t>I</w:t>
            </w:r>
            <w:r w:rsidRPr="00B8134B">
              <w:rPr>
                <w:sz w:val="22"/>
              </w:rPr>
              <w:t>t has</w:t>
            </w:r>
            <w:r>
              <w:rPr>
                <w:sz w:val="22"/>
              </w:rPr>
              <w:t xml:space="preserve"> also</w:t>
            </w:r>
            <w:r w:rsidRPr="00B8134B">
              <w:rPr>
                <w:sz w:val="22"/>
              </w:rPr>
              <w:t xml:space="preserve"> led to </w:t>
            </w:r>
            <w:r w:rsidRPr="00B8134B">
              <w:rPr>
                <w:sz w:val="22"/>
              </w:rPr>
              <w:lastRenderedPageBreak/>
              <w:t>inconsistencies when valuing the debt securities affected by these conventions, as certain systems automatically accrue interest and the price of the debt security on the actual interest payment date reverts to 100% of the nominal amou</w:t>
            </w:r>
            <w:r>
              <w:rPr>
                <w:sz w:val="22"/>
              </w:rPr>
              <w:t xml:space="preserve">nt, whilst other systems do not. </w:t>
            </w:r>
          </w:p>
          <w:p w14:paraId="5CAEAFDA" w14:textId="0872223E" w:rsidR="006802C9" w:rsidRPr="009A4840" w:rsidRDefault="006802C9" w:rsidP="00BE6445">
            <w:pPr>
              <w:rPr>
                <w:sz w:val="22"/>
              </w:rPr>
            </w:pPr>
            <w:r>
              <w:rPr>
                <w:sz w:val="22"/>
              </w:rPr>
              <w:t>These specific definitions ensure that the interest period will always change when the payment date moves due to a business day convention.</w:t>
            </w:r>
          </w:p>
        </w:tc>
      </w:tr>
      <w:tr w:rsidR="000E65FF" w:rsidRPr="00987E46" w14:paraId="5815052D" w14:textId="77777777" w:rsidTr="009C7641">
        <w:tc>
          <w:tcPr>
            <w:tcW w:w="668" w:type="dxa"/>
          </w:tcPr>
          <w:p w14:paraId="61AAAD21" w14:textId="77777777" w:rsidR="000E65FF" w:rsidRPr="00987E46" w:rsidRDefault="000E65FF" w:rsidP="009A4840">
            <w:pPr>
              <w:pStyle w:val="ListParagraph"/>
              <w:numPr>
                <w:ilvl w:val="0"/>
                <w:numId w:val="28"/>
              </w:numPr>
              <w:spacing w:line="240" w:lineRule="auto"/>
              <w:jc w:val="left"/>
              <w:rPr>
                <w:b/>
                <w:sz w:val="22"/>
              </w:rPr>
            </w:pPr>
          </w:p>
        </w:tc>
        <w:tc>
          <w:tcPr>
            <w:tcW w:w="2513" w:type="dxa"/>
          </w:tcPr>
          <w:p w14:paraId="6BC0AB45" w14:textId="22ABEE3C" w:rsidR="000E65FF" w:rsidRDefault="000E65FF" w:rsidP="009C7641">
            <w:pPr>
              <w:jc w:val="left"/>
              <w:rPr>
                <w:b/>
                <w:sz w:val="22"/>
              </w:rPr>
            </w:pPr>
            <w:r>
              <w:rPr>
                <w:b/>
                <w:sz w:val="22"/>
              </w:rPr>
              <w:t>Section 5</w:t>
            </w:r>
          </w:p>
        </w:tc>
        <w:tc>
          <w:tcPr>
            <w:tcW w:w="5279" w:type="dxa"/>
          </w:tcPr>
          <w:p w14:paraId="38DF362F" w14:textId="77777777" w:rsidR="000E65FF" w:rsidRDefault="000E65FF" w:rsidP="00BE6445">
            <w:pPr>
              <w:rPr>
                <w:b/>
                <w:sz w:val="22"/>
              </w:rPr>
            </w:pPr>
            <w:r>
              <w:rPr>
                <w:b/>
                <w:sz w:val="22"/>
              </w:rPr>
              <w:t>Financial statements</w:t>
            </w:r>
          </w:p>
          <w:p w14:paraId="20FF6114" w14:textId="77777777" w:rsidR="000E65FF" w:rsidRDefault="000E65FF" w:rsidP="00BE6445">
            <w:pPr>
              <w:rPr>
                <w:b/>
                <w:sz w:val="22"/>
              </w:rPr>
            </w:pPr>
          </w:p>
          <w:p w14:paraId="66062B2F" w14:textId="77777777" w:rsidR="000E65FF" w:rsidRDefault="000E65FF" w:rsidP="00BE6445">
            <w:pPr>
              <w:rPr>
                <w:b/>
                <w:sz w:val="22"/>
              </w:rPr>
            </w:pPr>
            <w:r>
              <w:rPr>
                <w:b/>
                <w:sz w:val="22"/>
              </w:rPr>
              <w:t>Amended paragraph 5.6</w:t>
            </w:r>
          </w:p>
          <w:p w14:paraId="4200F9F0" w14:textId="77777777" w:rsidR="000E65FF" w:rsidRDefault="000E65FF" w:rsidP="00BE6445">
            <w:pPr>
              <w:rPr>
                <w:b/>
                <w:sz w:val="22"/>
              </w:rPr>
            </w:pPr>
          </w:p>
          <w:p w14:paraId="59775F90" w14:textId="3ADCA6A7" w:rsidR="000E65FF" w:rsidRPr="000E65FF" w:rsidRDefault="000E65FF" w:rsidP="00BE6445">
            <w:pPr>
              <w:rPr>
                <w:sz w:val="22"/>
              </w:rPr>
            </w:pPr>
            <w:r>
              <w:rPr>
                <w:sz w:val="22"/>
              </w:rPr>
              <w:t>This paragraph was amended to refer to applicant issuers rather than new applicants and to confirm what information such applicant issuers are required to provide to the JSE.</w:t>
            </w:r>
          </w:p>
        </w:tc>
        <w:tc>
          <w:tcPr>
            <w:tcW w:w="4736" w:type="dxa"/>
          </w:tcPr>
          <w:p w14:paraId="539A0DEC" w14:textId="3E307CB3" w:rsidR="000E65FF" w:rsidRDefault="000E65FF" w:rsidP="00BE6445">
            <w:pPr>
              <w:rPr>
                <w:sz w:val="22"/>
              </w:rPr>
            </w:pPr>
            <w:r>
              <w:rPr>
                <w:sz w:val="22"/>
              </w:rPr>
              <w:t>This amendment was made to clarify that all issuers (both new and existing) that are only funding/financing arms of the guarantor are not required to provide the issuer’s annual financial statements to the JSE. The amendments also clarify that such issuers must instead provide the guarantor’s financial information.</w:t>
            </w:r>
          </w:p>
        </w:tc>
      </w:tr>
      <w:tr w:rsidR="000E65FF" w:rsidRPr="00987E46" w14:paraId="22F350B1" w14:textId="77777777" w:rsidTr="009C7641">
        <w:tc>
          <w:tcPr>
            <w:tcW w:w="668" w:type="dxa"/>
          </w:tcPr>
          <w:p w14:paraId="4FE64833" w14:textId="662E805D" w:rsidR="000E65FF" w:rsidRPr="00987E46" w:rsidRDefault="000E65FF" w:rsidP="009A4840">
            <w:pPr>
              <w:pStyle w:val="ListParagraph"/>
              <w:numPr>
                <w:ilvl w:val="0"/>
                <w:numId w:val="28"/>
              </w:numPr>
              <w:spacing w:line="240" w:lineRule="auto"/>
              <w:jc w:val="left"/>
              <w:rPr>
                <w:b/>
                <w:sz w:val="22"/>
              </w:rPr>
            </w:pPr>
          </w:p>
        </w:tc>
        <w:tc>
          <w:tcPr>
            <w:tcW w:w="2513" w:type="dxa"/>
          </w:tcPr>
          <w:p w14:paraId="506CA265" w14:textId="6B6B5CE2" w:rsidR="000E65FF" w:rsidRDefault="000E65FF" w:rsidP="009C7641">
            <w:pPr>
              <w:jc w:val="left"/>
              <w:rPr>
                <w:b/>
                <w:sz w:val="22"/>
              </w:rPr>
            </w:pPr>
            <w:r>
              <w:rPr>
                <w:b/>
                <w:sz w:val="22"/>
              </w:rPr>
              <w:t>Section 5</w:t>
            </w:r>
          </w:p>
        </w:tc>
        <w:tc>
          <w:tcPr>
            <w:tcW w:w="5279" w:type="dxa"/>
          </w:tcPr>
          <w:p w14:paraId="6507A5E4" w14:textId="77777777" w:rsidR="000E65FF" w:rsidRDefault="000E65FF" w:rsidP="00BE6445">
            <w:pPr>
              <w:rPr>
                <w:b/>
                <w:sz w:val="22"/>
              </w:rPr>
            </w:pPr>
            <w:r w:rsidRPr="000E65FF">
              <w:rPr>
                <w:b/>
                <w:sz w:val="22"/>
              </w:rPr>
              <w:t>Report of the independent auditor</w:t>
            </w:r>
          </w:p>
          <w:p w14:paraId="39748583" w14:textId="77777777" w:rsidR="000E65FF" w:rsidRDefault="000E65FF" w:rsidP="00BE6445">
            <w:pPr>
              <w:rPr>
                <w:b/>
                <w:sz w:val="22"/>
              </w:rPr>
            </w:pPr>
          </w:p>
          <w:p w14:paraId="11738527" w14:textId="77777777" w:rsidR="000E65FF" w:rsidRDefault="000E65FF" w:rsidP="00BE6445">
            <w:pPr>
              <w:rPr>
                <w:b/>
                <w:sz w:val="22"/>
              </w:rPr>
            </w:pPr>
            <w:r>
              <w:rPr>
                <w:b/>
                <w:sz w:val="22"/>
              </w:rPr>
              <w:t>Amended paragraph 5.9</w:t>
            </w:r>
          </w:p>
          <w:p w14:paraId="005E4FE7" w14:textId="77777777" w:rsidR="000E65FF" w:rsidRDefault="000E65FF" w:rsidP="00BE6445">
            <w:pPr>
              <w:rPr>
                <w:b/>
                <w:sz w:val="22"/>
              </w:rPr>
            </w:pPr>
          </w:p>
          <w:p w14:paraId="729EDCAC" w14:textId="6BFAB9FF" w:rsidR="000E65FF" w:rsidRPr="000E65FF" w:rsidRDefault="000E65FF" w:rsidP="00BE6445">
            <w:pPr>
              <w:rPr>
                <w:sz w:val="22"/>
              </w:rPr>
            </w:pPr>
            <w:r w:rsidRPr="000E65FF">
              <w:rPr>
                <w:sz w:val="22"/>
              </w:rPr>
              <w:t>The defined term IAS was amended to ISA.</w:t>
            </w:r>
          </w:p>
        </w:tc>
        <w:tc>
          <w:tcPr>
            <w:tcW w:w="4736" w:type="dxa"/>
          </w:tcPr>
          <w:p w14:paraId="5384A679" w14:textId="5EF1E155" w:rsidR="000E65FF" w:rsidRDefault="000E65FF" w:rsidP="00BE6445">
            <w:pPr>
              <w:rPr>
                <w:sz w:val="22"/>
              </w:rPr>
            </w:pPr>
            <w:r>
              <w:rPr>
                <w:sz w:val="22"/>
              </w:rPr>
              <w:t>This was to correct an error made in the Part 1 of 2016 amendments to the Debt Listings Requirements.</w:t>
            </w:r>
          </w:p>
        </w:tc>
      </w:tr>
      <w:tr w:rsidR="006802C9" w:rsidRPr="00987E46" w14:paraId="72A98452" w14:textId="77777777" w:rsidTr="009C7641">
        <w:tc>
          <w:tcPr>
            <w:tcW w:w="668" w:type="dxa"/>
          </w:tcPr>
          <w:p w14:paraId="54AE7C80" w14:textId="09372809" w:rsidR="006802C9" w:rsidRPr="00987E46" w:rsidRDefault="006802C9" w:rsidP="009A4840">
            <w:pPr>
              <w:pStyle w:val="ListParagraph"/>
              <w:numPr>
                <w:ilvl w:val="0"/>
                <w:numId w:val="28"/>
              </w:numPr>
              <w:spacing w:line="240" w:lineRule="auto"/>
              <w:jc w:val="left"/>
              <w:rPr>
                <w:b/>
                <w:sz w:val="22"/>
              </w:rPr>
            </w:pPr>
          </w:p>
        </w:tc>
        <w:tc>
          <w:tcPr>
            <w:tcW w:w="2513" w:type="dxa"/>
          </w:tcPr>
          <w:p w14:paraId="44EB3010" w14:textId="02B2FE0E" w:rsidR="006802C9" w:rsidRDefault="007F1E53" w:rsidP="009C7641">
            <w:pPr>
              <w:jc w:val="left"/>
              <w:rPr>
                <w:b/>
                <w:sz w:val="22"/>
              </w:rPr>
            </w:pPr>
            <w:r>
              <w:rPr>
                <w:b/>
                <w:sz w:val="22"/>
              </w:rPr>
              <w:t>Section 7</w:t>
            </w:r>
          </w:p>
        </w:tc>
        <w:tc>
          <w:tcPr>
            <w:tcW w:w="5279" w:type="dxa"/>
          </w:tcPr>
          <w:p w14:paraId="6ACB4576" w14:textId="1BE1D02A" w:rsidR="006802C9" w:rsidRPr="001F51D2" w:rsidRDefault="007F1E53" w:rsidP="00BE6445">
            <w:pPr>
              <w:rPr>
                <w:b/>
                <w:sz w:val="22"/>
              </w:rPr>
            </w:pPr>
            <w:r w:rsidRPr="001F51D2">
              <w:rPr>
                <w:b/>
                <w:sz w:val="22"/>
              </w:rPr>
              <w:t>Additional continuing obligations for issuers of asset</w:t>
            </w:r>
            <w:r w:rsidRPr="001F51D2">
              <w:rPr>
                <w:b/>
                <w:sz w:val="22"/>
              </w:rPr>
              <w:noBreakHyphen/>
              <w:t>backed debt securities</w:t>
            </w:r>
          </w:p>
          <w:p w14:paraId="40FBA836" w14:textId="77777777" w:rsidR="007F1E53" w:rsidRDefault="007F1E53" w:rsidP="00BE6445">
            <w:pPr>
              <w:rPr>
                <w:sz w:val="22"/>
              </w:rPr>
            </w:pPr>
          </w:p>
          <w:p w14:paraId="78E86A36" w14:textId="2CDDC9CB" w:rsidR="007F1E53" w:rsidRPr="007F1E53" w:rsidRDefault="007F1E53" w:rsidP="00BE6445">
            <w:pPr>
              <w:rPr>
                <w:b/>
                <w:sz w:val="22"/>
              </w:rPr>
            </w:pPr>
            <w:r w:rsidRPr="007F1E53">
              <w:rPr>
                <w:b/>
                <w:sz w:val="22"/>
              </w:rPr>
              <w:t xml:space="preserve">Amended </w:t>
            </w:r>
            <w:r w:rsidR="00261611">
              <w:rPr>
                <w:b/>
                <w:sz w:val="22"/>
              </w:rPr>
              <w:t>paragraph 7.62</w:t>
            </w:r>
            <w:r w:rsidRPr="007F1E53">
              <w:rPr>
                <w:b/>
                <w:sz w:val="22"/>
              </w:rPr>
              <w:t>(a)(ii)</w:t>
            </w:r>
          </w:p>
          <w:p w14:paraId="073F83A5" w14:textId="77777777" w:rsidR="007F1E53" w:rsidRDefault="007F1E53" w:rsidP="00BE6445">
            <w:pPr>
              <w:rPr>
                <w:sz w:val="22"/>
              </w:rPr>
            </w:pPr>
          </w:p>
          <w:p w14:paraId="1124527E" w14:textId="77777777" w:rsidR="007F1E53" w:rsidRDefault="007F1E53" w:rsidP="00BE6445">
            <w:pPr>
              <w:rPr>
                <w:sz w:val="22"/>
              </w:rPr>
            </w:pPr>
            <w:r>
              <w:rPr>
                <w:sz w:val="22"/>
              </w:rPr>
              <w:t>This paragraph was amended to include a description of the types of asset-backed debt securities to which this requirement will be applicable.</w:t>
            </w:r>
          </w:p>
          <w:p w14:paraId="0D9FAF6E" w14:textId="2AAA0551" w:rsidR="005B30FD" w:rsidRPr="009A4840" w:rsidRDefault="005B30FD" w:rsidP="00BE6445">
            <w:pPr>
              <w:rPr>
                <w:sz w:val="22"/>
              </w:rPr>
            </w:pPr>
          </w:p>
        </w:tc>
        <w:tc>
          <w:tcPr>
            <w:tcW w:w="4736" w:type="dxa"/>
          </w:tcPr>
          <w:p w14:paraId="4219CBBA" w14:textId="2E7BAA43" w:rsidR="006802C9" w:rsidRPr="009A4840" w:rsidRDefault="007F1E53" w:rsidP="00BE6445">
            <w:pPr>
              <w:rPr>
                <w:sz w:val="22"/>
              </w:rPr>
            </w:pPr>
            <w:r>
              <w:rPr>
                <w:sz w:val="22"/>
              </w:rPr>
              <w:lastRenderedPageBreak/>
              <w:t>This amendment was made to clarify that issuers of asset-backed debt securities, where the underlying assets will not change between reporting dates, are not required to comply with this paragraph.</w:t>
            </w:r>
          </w:p>
        </w:tc>
      </w:tr>
      <w:tr w:rsidR="00686DCD" w:rsidRPr="00987E46" w14:paraId="57B004BD" w14:textId="77777777" w:rsidTr="009C7641">
        <w:tc>
          <w:tcPr>
            <w:tcW w:w="668" w:type="dxa"/>
          </w:tcPr>
          <w:p w14:paraId="6DBC2068" w14:textId="77777777" w:rsidR="00686DCD" w:rsidRPr="00987E46" w:rsidRDefault="00686DCD" w:rsidP="009A4840">
            <w:pPr>
              <w:pStyle w:val="ListParagraph"/>
              <w:numPr>
                <w:ilvl w:val="0"/>
                <w:numId w:val="28"/>
              </w:numPr>
              <w:spacing w:line="240" w:lineRule="auto"/>
              <w:jc w:val="left"/>
              <w:rPr>
                <w:b/>
                <w:sz w:val="22"/>
              </w:rPr>
            </w:pPr>
          </w:p>
        </w:tc>
        <w:tc>
          <w:tcPr>
            <w:tcW w:w="2513" w:type="dxa"/>
          </w:tcPr>
          <w:p w14:paraId="653418E9" w14:textId="16B2AA78" w:rsidR="00686DCD" w:rsidRDefault="00686DCD" w:rsidP="009C7641">
            <w:pPr>
              <w:jc w:val="left"/>
              <w:rPr>
                <w:b/>
                <w:sz w:val="22"/>
              </w:rPr>
            </w:pPr>
            <w:r>
              <w:rPr>
                <w:b/>
                <w:sz w:val="22"/>
              </w:rPr>
              <w:t>Section 8</w:t>
            </w:r>
          </w:p>
        </w:tc>
        <w:tc>
          <w:tcPr>
            <w:tcW w:w="5279" w:type="dxa"/>
          </w:tcPr>
          <w:p w14:paraId="119F0B09" w14:textId="77777777" w:rsidR="00686DCD" w:rsidRDefault="0041582D" w:rsidP="00BE6445">
            <w:pPr>
              <w:rPr>
                <w:b/>
                <w:sz w:val="22"/>
              </w:rPr>
            </w:pPr>
            <w:r>
              <w:rPr>
                <w:b/>
                <w:sz w:val="22"/>
              </w:rPr>
              <w:t>Documents to be submitted on formal submission</w:t>
            </w:r>
          </w:p>
          <w:p w14:paraId="7E2C6BF9" w14:textId="77777777" w:rsidR="0041582D" w:rsidRDefault="0041582D" w:rsidP="00BE6445">
            <w:pPr>
              <w:rPr>
                <w:b/>
                <w:sz w:val="22"/>
              </w:rPr>
            </w:pPr>
          </w:p>
          <w:p w14:paraId="45E98A9F" w14:textId="77777777" w:rsidR="0041582D" w:rsidRDefault="0041582D" w:rsidP="00BE6445">
            <w:pPr>
              <w:rPr>
                <w:b/>
                <w:sz w:val="22"/>
              </w:rPr>
            </w:pPr>
            <w:r>
              <w:rPr>
                <w:b/>
                <w:sz w:val="22"/>
              </w:rPr>
              <w:t>New paragraph 8.3(s) and amended paragraph 8.4(b)(ii)</w:t>
            </w:r>
          </w:p>
          <w:p w14:paraId="2B77C124" w14:textId="77777777" w:rsidR="0041582D" w:rsidRDefault="0041582D" w:rsidP="00BE6445">
            <w:pPr>
              <w:rPr>
                <w:sz w:val="22"/>
              </w:rPr>
            </w:pPr>
          </w:p>
          <w:p w14:paraId="397D7282" w14:textId="77777777" w:rsidR="0041582D" w:rsidRDefault="0041582D" w:rsidP="00BE6445">
            <w:pPr>
              <w:rPr>
                <w:sz w:val="22"/>
              </w:rPr>
            </w:pPr>
            <w:r>
              <w:rPr>
                <w:sz w:val="22"/>
              </w:rPr>
              <w:t>The amendments to these paragraphs were to include reference to the letter that an applicant issuer is required to provide at the same time as the signed placing document/amended document is submitted to the JSE for final formal approval.</w:t>
            </w:r>
          </w:p>
          <w:p w14:paraId="1AAC887A" w14:textId="4B13848A" w:rsidR="005B30FD" w:rsidRPr="0041582D" w:rsidRDefault="005B30FD" w:rsidP="00BE6445">
            <w:pPr>
              <w:rPr>
                <w:sz w:val="22"/>
              </w:rPr>
            </w:pPr>
          </w:p>
        </w:tc>
        <w:tc>
          <w:tcPr>
            <w:tcW w:w="4736" w:type="dxa"/>
          </w:tcPr>
          <w:p w14:paraId="67FC5E06" w14:textId="51BC1955" w:rsidR="00686DCD" w:rsidRPr="009A4840" w:rsidRDefault="0041582D" w:rsidP="00BE6445">
            <w:pPr>
              <w:rPr>
                <w:sz w:val="22"/>
              </w:rPr>
            </w:pPr>
            <w:r>
              <w:rPr>
                <w:sz w:val="22"/>
              </w:rPr>
              <w:t>These amendments were to confirm that the letter required by paragraph 4.21 is a document that must be submitted in order to obtain final formal approval of a new placing document or amended document.</w:t>
            </w:r>
          </w:p>
        </w:tc>
      </w:tr>
      <w:tr w:rsidR="0041582D" w:rsidRPr="00987E46" w14:paraId="60D6FDD9" w14:textId="77777777" w:rsidTr="009C7641">
        <w:tc>
          <w:tcPr>
            <w:tcW w:w="668" w:type="dxa"/>
          </w:tcPr>
          <w:p w14:paraId="0C44F84B" w14:textId="77777777" w:rsidR="0041582D" w:rsidRPr="00987E46" w:rsidRDefault="0041582D" w:rsidP="009A4840">
            <w:pPr>
              <w:pStyle w:val="ListParagraph"/>
              <w:numPr>
                <w:ilvl w:val="0"/>
                <w:numId w:val="28"/>
              </w:numPr>
              <w:spacing w:line="240" w:lineRule="auto"/>
              <w:jc w:val="left"/>
              <w:rPr>
                <w:b/>
                <w:sz w:val="22"/>
              </w:rPr>
            </w:pPr>
          </w:p>
        </w:tc>
        <w:tc>
          <w:tcPr>
            <w:tcW w:w="2513" w:type="dxa"/>
          </w:tcPr>
          <w:p w14:paraId="4CF619F4" w14:textId="0696EA20" w:rsidR="0041582D" w:rsidRDefault="0041582D" w:rsidP="009C7641">
            <w:pPr>
              <w:jc w:val="left"/>
              <w:rPr>
                <w:b/>
                <w:sz w:val="22"/>
              </w:rPr>
            </w:pPr>
            <w:r>
              <w:rPr>
                <w:b/>
                <w:sz w:val="22"/>
              </w:rPr>
              <w:t>Section 8</w:t>
            </w:r>
          </w:p>
        </w:tc>
        <w:tc>
          <w:tcPr>
            <w:tcW w:w="5279" w:type="dxa"/>
          </w:tcPr>
          <w:p w14:paraId="2A9B245B" w14:textId="77777777" w:rsidR="0041582D" w:rsidRDefault="0041582D" w:rsidP="00BE6445">
            <w:pPr>
              <w:rPr>
                <w:b/>
                <w:sz w:val="22"/>
              </w:rPr>
            </w:pPr>
            <w:r w:rsidRPr="0041582D">
              <w:rPr>
                <w:b/>
                <w:sz w:val="22"/>
              </w:rPr>
              <w:t>Fast Track Listing Process - Documents to be submitted</w:t>
            </w:r>
          </w:p>
          <w:p w14:paraId="06D9CD38" w14:textId="77777777" w:rsidR="0041582D" w:rsidRDefault="0041582D" w:rsidP="00BE6445">
            <w:pPr>
              <w:rPr>
                <w:b/>
                <w:sz w:val="22"/>
              </w:rPr>
            </w:pPr>
          </w:p>
          <w:p w14:paraId="6CA2A2E0" w14:textId="57A18958" w:rsidR="0041582D" w:rsidRDefault="0041582D" w:rsidP="00BE6445">
            <w:pPr>
              <w:rPr>
                <w:b/>
                <w:sz w:val="22"/>
              </w:rPr>
            </w:pPr>
            <w:r>
              <w:rPr>
                <w:b/>
                <w:sz w:val="22"/>
              </w:rPr>
              <w:t>New paragraph 8.5(g)</w:t>
            </w:r>
          </w:p>
          <w:p w14:paraId="6B1EEA01" w14:textId="77777777" w:rsidR="0041582D" w:rsidRDefault="0041582D" w:rsidP="00BE6445">
            <w:pPr>
              <w:rPr>
                <w:b/>
                <w:sz w:val="22"/>
              </w:rPr>
            </w:pPr>
          </w:p>
          <w:p w14:paraId="466F698A" w14:textId="77777777" w:rsidR="0041582D" w:rsidRDefault="0041582D" w:rsidP="00BE6445">
            <w:pPr>
              <w:rPr>
                <w:sz w:val="22"/>
              </w:rPr>
            </w:pPr>
            <w:r>
              <w:rPr>
                <w:sz w:val="22"/>
              </w:rPr>
              <w:t>This paragraph was inserted</w:t>
            </w:r>
            <w:r w:rsidRPr="0041582D">
              <w:rPr>
                <w:sz w:val="22"/>
              </w:rPr>
              <w:t xml:space="preserve"> to include </w:t>
            </w:r>
            <w:r>
              <w:rPr>
                <w:sz w:val="22"/>
              </w:rPr>
              <w:t>a letter that a secondary registered</w:t>
            </w:r>
            <w:r w:rsidRPr="0041582D">
              <w:rPr>
                <w:sz w:val="22"/>
              </w:rPr>
              <w:t xml:space="preserve"> issuer is required to provide at the same time as the signed </w:t>
            </w:r>
            <w:r>
              <w:rPr>
                <w:sz w:val="22"/>
              </w:rPr>
              <w:t>JSE supplement</w:t>
            </w:r>
            <w:r w:rsidRPr="0041582D">
              <w:rPr>
                <w:sz w:val="22"/>
              </w:rPr>
              <w:t xml:space="preserve"> is submitted to the JSE for final formal approval.</w:t>
            </w:r>
          </w:p>
          <w:p w14:paraId="3B30BBCF" w14:textId="77777777" w:rsidR="0041582D" w:rsidRDefault="0041582D" w:rsidP="00BE6445">
            <w:pPr>
              <w:rPr>
                <w:sz w:val="22"/>
              </w:rPr>
            </w:pPr>
          </w:p>
          <w:p w14:paraId="57A1C485" w14:textId="4F842C9C" w:rsidR="0041582D" w:rsidRDefault="0041582D" w:rsidP="00BE6445">
            <w:pPr>
              <w:rPr>
                <w:b/>
                <w:sz w:val="22"/>
              </w:rPr>
            </w:pPr>
            <w:r>
              <w:rPr>
                <w:b/>
                <w:sz w:val="22"/>
              </w:rPr>
              <w:t>New paragraph 8.5(h)</w:t>
            </w:r>
          </w:p>
          <w:p w14:paraId="1CB0480C" w14:textId="77777777" w:rsidR="0041582D" w:rsidRDefault="0041582D" w:rsidP="00BE6445">
            <w:pPr>
              <w:rPr>
                <w:b/>
                <w:sz w:val="22"/>
              </w:rPr>
            </w:pPr>
          </w:p>
          <w:p w14:paraId="591F93D5" w14:textId="77777777" w:rsidR="0041582D" w:rsidRDefault="0041582D" w:rsidP="00BE6445">
            <w:pPr>
              <w:rPr>
                <w:sz w:val="22"/>
              </w:rPr>
            </w:pPr>
            <w:r>
              <w:rPr>
                <w:sz w:val="22"/>
              </w:rPr>
              <w:t>This paragraph was inserted to require a letter from the legal adviser that all relevant agreements have been signed.</w:t>
            </w:r>
          </w:p>
          <w:p w14:paraId="2B773D3A" w14:textId="77777777" w:rsidR="004E0BC6" w:rsidRDefault="004E0BC6" w:rsidP="00BE6445">
            <w:pPr>
              <w:rPr>
                <w:sz w:val="22"/>
              </w:rPr>
            </w:pPr>
          </w:p>
          <w:p w14:paraId="1874B4A9" w14:textId="77777777" w:rsidR="004E0BC6" w:rsidRDefault="004E0BC6" w:rsidP="00BE6445">
            <w:pPr>
              <w:rPr>
                <w:sz w:val="22"/>
              </w:rPr>
            </w:pPr>
          </w:p>
          <w:p w14:paraId="50438206" w14:textId="77777777" w:rsidR="004E0BC6" w:rsidRDefault="004E0BC6" w:rsidP="00BE6445">
            <w:pPr>
              <w:rPr>
                <w:sz w:val="22"/>
              </w:rPr>
            </w:pPr>
          </w:p>
          <w:p w14:paraId="184E9523" w14:textId="69D1FB5B" w:rsidR="004E0BC6" w:rsidRPr="00015AD2" w:rsidRDefault="004E0BC6" w:rsidP="00BE6445">
            <w:pPr>
              <w:rPr>
                <w:sz w:val="22"/>
              </w:rPr>
            </w:pPr>
            <w:bookmarkStart w:id="0" w:name="_GoBack"/>
            <w:bookmarkEnd w:id="0"/>
          </w:p>
        </w:tc>
        <w:tc>
          <w:tcPr>
            <w:tcW w:w="4736" w:type="dxa"/>
          </w:tcPr>
          <w:p w14:paraId="2C1DE402" w14:textId="77777777" w:rsidR="0041582D" w:rsidRDefault="0041582D" w:rsidP="00BE6445">
            <w:pPr>
              <w:rPr>
                <w:sz w:val="22"/>
              </w:rPr>
            </w:pPr>
          </w:p>
          <w:p w14:paraId="11C0DBFF" w14:textId="77777777" w:rsidR="0041582D" w:rsidRDefault="0041582D" w:rsidP="00BE6445">
            <w:pPr>
              <w:rPr>
                <w:sz w:val="22"/>
              </w:rPr>
            </w:pPr>
          </w:p>
          <w:p w14:paraId="54894E35" w14:textId="77777777" w:rsidR="00663079" w:rsidRDefault="00663079" w:rsidP="00BE6445">
            <w:pPr>
              <w:rPr>
                <w:sz w:val="22"/>
              </w:rPr>
            </w:pPr>
          </w:p>
          <w:p w14:paraId="391E5FB6" w14:textId="77777777" w:rsidR="0041582D" w:rsidRDefault="0041582D" w:rsidP="00BE6445">
            <w:pPr>
              <w:rPr>
                <w:sz w:val="22"/>
              </w:rPr>
            </w:pPr>
            <w:r>
              <w:rPr>
                <w:sz w:val="22"/>
              </w:rPr>
              <w:t>This insertion clarifies that the issuer must provide a letter confirming that the signed JSE supplement is materially the same as the draft that was conditionally formally approved by the JSE.</w:t>
            </w:r>
          </w:p>
          <w:p w14:paraId="5D4A8BF4" w14:textId="77777777" w:rsidR="0041582D" w:rsidRDefault="0041582D" w:rsidP="00BE6445">
            <w:pPr>
              <w:rPr>
                <w:sz w:val="22"/>
              </w:rPr>
            </w:pPr>
          </w:p>
          <w:p w14:paraId="0FE7EA62" w14:textId="77777777" w:rsidR="0041582D" w:rsidRDefault="0041582D" w:rsidP="00BE6445">
            <w:pPr>
              <w:rPr>
                <w:sz w:val="22"/>
              </w:rPr>
            </w:pPr>
          </w:p>
          <w:p w14:paraId="4F1763CE" w14:textId="77777777" w:rsidR="0041582D" w:rsidRDefault="0041582D" w:rsidP="00BE6445">
            <w:pPr>
              <w:rPr>
                <w:sz w:val="22"/>
              </w:rPr>
            </w:pPr>
          </w:p>
          <w:p w14:paraId="328A3D31" w14:textId="77777777" w:rsidR="00663079" w:rsidRDefault="00663079" w:rsidP="00BE6445">
            <w:pPr>
              <w:rPr>
                <w:sz w:val="22"/>
              </w:rPr>
            </w:pPr>
          </w:p>
          <w:p w14:paraId="7C5A56E4" w14:textId="77777777" w:rsidR="0041582D" w:rsidRDefault="0041582D" w:rsidP="00BE6445">
            <w:pPr>
              <w:rPr>
                <w:sz w:val="22"/>
              </w:rPr>
            </w:pPr>
            <w:r>
              <w:rPr>
                <w:sz w:val="22"/>
              </w:rPr>
              <w:t>This letter is required by the JSE to ensure that all documents relevant to the JSE supplement are signed and in place before the JSE supplement is registered with the JSE.</w:t>
            </w:r>
          </w:p>
          <w:p w14:paraId="19BC1DFC" w14:textId="37EA92C1" w:rsidR="00663079" w:rsidRPr="009A4840" w:rsidRDefault="00663079" w:rsidP="00BE6445">
            <w:pPr>
              <w:rPr>
                <w:sz w:val="22"/>
              </w:rPr>
            </w:pPr>
          </w:p>
        </w:tc>
      </w:tr>
      <w:tr w:rsidR="006802C9" w:rsidRPr="00987E46" w14:paraId="7BC6504F" w14:textId="77777777" w:rsidTr="009C7641">
        <w:tc>
          <w:tcPr>
            <w:tcW w:w="668" w:type="dxa"/>
          </w:tcPr>
          <w:p w14:paraId="5DE259AA" w14:textId="1D7720A7" w:rsidR="006802C9" w:rsidRPr="00987E46" w:rsidRDefault="006802C9" w:rsidP="009A4840">
            <w:pPr>
              <w:pStyle w:val="ListParagraph"/>
              <w:numPr>
                <w:ilvl w:val="0"/>
                <w:numId w:val="28"/>
              </w:numPr>
              <w:spacing w:line="240" w:lineRule="auto"/>
              <w:jc w:val="left"/>
              <w:rPr>
                <w:b/>
                <w:sz w:val="22"/>
              </w:rPr>
            </w:pPr>
          </w:p>
        </w:tc>
        <w:tc>
          <w:tcPr>
            <w:tcW w:w="2513" w:type="dxa"/>
          </w:tcPr>
          <w:p w14:paraId="4F96BEDA" w14:textId="6CA6A7AD" w:rsidR="006802C9" w:rsidRPr="00987E46" w:rsidRDefault="006802C9" w:rsidP="009C7641">
            <w:pPr>
              <w:jc w:val="left"/>
              <w:rPr>
                <w:b/>
                <w:sz w:val="22"/>
              </w:rPr>
            </w:pPr>
            <w:r>
              <w:rPr>
                <w:b/>
                <w:sz w:val="22"/>
              </w:rPr>
              <w:t>Schedules</w:t>
            </w:r>
          </w:p>
        </w:tc>
        <w:tc>
          <w:tcPr>
            <w:tcW w:w="5279" w:type="dxa"/>
          </w:tcPr>
          <w:p w14:paraId="6010AF5A" w14:textId="77777777" w:rsidR="006802C9" w:rsidRPr="00B8134B" w:rsidRDefault="006802C9" w:rsidP="00BE6445">
            <w:pPr>
              <w:rPr>
                <w:b/>
                <w:sz w:val="22"/>
              </w:rPr>
            </w:pPr>
            <w:r w:rsidRPr="00B8134B">
              <w:rPr>
                <w:b/>
                <w:sz w:val="22"/>
              </w:rPr>
              <w:t>Schedule 4</w:t>
            </w:r>
          </w:p>
          <w:p w14:paraId="7B23EFE6" w14:textId="77777777" w:rsidR="006802C9" w:rsidRPr="00B8134B" w:rsidRDefault="006802C9" w:rsidP="00BE6445">
            <w:pPr>
              <w:rPr>
                <w:b/>
                <w:sz w:val="22"/>
              </w:rPr>
            </w:pPr>
          </w:p>
          <w:p w14:paraId="1009373A" w14:textId="77777777" w:rsidR="006802C9" w:rsidRPr="00B8134B" w:rsidRDefault="006802C9" w:rsidP="00BE6445">
            <w:pPr>
              <w:rPr>
                <w:b/>
                <w:sz w:val="22"/>
              </w:rPr>
            </w:pPr>
            <w:r w:rsidRPr="00B8134B">
              <w:rPr>
                <w:b/>
                <w:sz w:val="22"/>
              </w:rPr>
              <w:t>New Form A4</w:t>
            </w:r>
          </w:p>
          <w:p w14:paraId="4D67F538" w14:textId="77777777" w:rsidR="006802C9" w:rsidRDefault="006802C9" w:rsidP="00BE6445">
            <w:pPr>
              <w:rPr>
                <w:sz w:val="22"/>
              </w:rPr>
            </w:pPr>
          </w:p>
          <w:p w14:paraId="26D12908" w14:textId="77777777" w:rsidR="006802C9" w:rsidRDefault="006802C9" w:rsidP="00BE6445">
            <w:pPr>
              <w:rPr>
                <w:sz w:val="22"/>
              </w:rPr>
            </w:pPr>
            <w:r>
              <w:rPr>
                <w:sz w:val="22"/>
              </w:rPr>
              <w:t xml:space="preserve">A new </w:t>
            </w:r>
            <w:r w:rsidRPr="009A4840">
              <w:rPr>
                <w:sz w:val="22"/>
              </w:rPr>
              <w:t>Form A4</w:t>
            </w:r>
            <w:r>
              <w:rPr>
                <w:sz w:val="22"/>
              </w:rPr>
              <w:t xml:space="preserve"> was created to provide a corporate action timetable that issuers are required to comply with whenever such action occurs in relation to their debt security.</w:t>
            </w:r>
          </w:p>
          <w:p w14:paraId="7F119A82" w14:textId="77777777" w:rsidR="006802C9" w:rsidRDefault="006802C9" w:rsidP="00BE6445">
            <w:pPr>
              <w:rPr>
                <w:sz w:val="22"/>
              </w:rPr>
            </w:pPr>
          </w:p>
          <w:p w14:paraId="02037E9B" w14:textId="7752F8D8" w:rsidR="006802C9" w:rsidRPr="00987E46" w:rsidRDefault="006802C9" w:rsidP="00BE6445">
            <w:pPr>
              <w:rPr>
                <w:sz w:val="22"/>
              </w:rPr>
            </w:pPr>
            <w:r>
              <w:rPr>
                <w:sz w:val="22"/>
              </w:rPr>
              <w:t xml:space="preserve">The creation of this timetable has also required consequential amendments to paragraphs 4.22(gg) and </w:t>
            </w:r>
            <w:r w:rsidR="00DE4ACB">
              <w:rPr>
                <w:sz w:val="22"/>
              </w:rPr>
              <w:t>7.44 to 7.59</w:t>
            </w:r>
            <w:r>
              <w:rPr>
                <w:sz w:val="22"/>
              </w:rPr>
              <w:t xml:space="preserve"> of the Debt Listings Requirements.</w:t>
            </w:r>
          </w:p>
        </w:tc>
        <w:tc>
          <w:tcPr>
            <w:tcW w:w="4736" w:type="dxa"/>
          </w:tcPr>
          <w:p w14:paraId="5AD36B40" w14:textId="29CE35EE" w:rsidR="006802C9" w:rsidRPr="00987E46" w:rsidRDefault="006802C9" w:rsidP="00BE6445">
            <w:pPr>
              <w:rPr>
                <w:sz w:val="22"/>
              </w:rPr>
            </w:pPr>
            <w:r w:rsidRPr="009A4840">
              <w:rPr>
                <w:sz w:val="22"/>
              </w:rPr>
              <w:t>The market has requested the creation of a corporate action timetable for debt securities listed on the I</w:t>
            </w:r>
            <w:r>
              <w:rPr>
                <w:sz w:val="22"/>
              </w:rPr>
              <w:t>nterest Rate Market of the JSE</w:t>
            </w:r>
            <w:r w:rsidRPr="009A4840">
              <w:rPr>
                <w:sz w:val="22"/>
              </w:rPr>
              <w:t>. This is to ensure that the market participants (including investors, Strate and CSDPs) are notified in advance of the effective date of such corporate actions and will enable them to process these actions correctly and timeously on their systems.</w:t>
            </w:r>
          </w:p>
        </w:tc>
      </w:tr>
    </w:tbl>
    <w:p w14:paraId="3268B1FE" w14:textId="411FE143" w:rsidR="009A4840" w:rsidRDefault="009A4840" w:rsidP="00B8134B"/>
    <w:sectPr w:rsidR="009A4840" w:rsidSect="009A4840">
      <w:headerReference w:type="even" r:id="rId12"/>
      <w:headerReference w:type="default" r:id="rId13"/>
      <w:footerReference w:type="default" r:id="rId14"/>
      <w:headerReference w:type="first" r:id="rId15"/>
      <w:footerReference w:type="first" r:id="rId16"/>
      <w:pgSz w:w="16838" w:h="11906" w:orient="landscape"/>
      <w:pgMar w:top="-851" w:right="1418" w:bottom="1134" w:left="1418" w:header="737" w:footer="17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35A8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B860A" w14:textId="77777777" w:rsidR="005764DF" w:rsidRDefault="005764DF" w:rsidP="0076126D">
      <w:pPr>
        <w:spacing w:line="240" w:lineRule="auto"/>
      </w:pPr>
      <w:r>
        <w:separator/>
      </w:r>
    </w:p>
  </w:endnote>
  <w:endnote w:type="continuationSeparator" w:id="0">
    <w:p w14:paraId="49919572" w14:textId="77777777" w:rsidR="005764DF" w:rsidRDefault="005764DF"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459100566"/>
      <w:docPartObj>
        <w:docPartGallery w:val="Page Numbers (Bottom of Page)"/>
        <w:docPartUnique/>
      </w:docPartObj>
    </w:sdtPr>
    <w:sdtEndPr/>
    <w:sdtContent>
      <w:p w14:paraId="540B751C" w14:textId="7844109A" w:rsidR="002443E5" w:rsidRDefault="002443E5" w:rsidP="00417645">
        <w:pPr>
          <w:widowControl w:val="0"/>
          <w:autoSpaceDE w:val="0"/>
          <w:autoSpaceDN w:val="0"/>
          <w:adjustRightInd w:val="0"/>
          <w:spacing w:line="240" w:lineRule="auto"/>
          <w:rPr>
            <w:rFonts w:cs="Arial"/>
            <w:bCs/>
            <w:sz w:val="14"/>
            <w:szCs w:val="14"/>
          </w:rPr>
        </w:pPr>
        <w:r>
          <w:rPr>
            <w:rFonts w:cs="Arial"/>
            <w:bCs/>
            <w:sz w:val="14"/>
            <w:szCs w:val="14"/>
          </w:rPr>
          <w:t xml:space="preserve">Page </w:t>
        </w:r>
        <w:r>
          <w:rPr>
            <w:rFonts w:cs="Arial"/>
            <w:bCs/>
            <w:sz w:val="14"/>
            <w:szCs w:val="14"/>
          </w:rPr>
          <w:fldChar w:fldCharType="begin"/>
        </w:r>
        <w:r>
          <w:rPr>
            <w:rFonts w:cs="Arial"/>
            <w:bCs/>
            <w:sz w:val="14"/>
            <w:szCs w:val="14"/>
          </w:rPr>
          <w:instrText xml:space="preserve"> PAGE  \* Arabic  \* MERGEFORMAT </w:instrText>
        </w:r>
        <w:r>
          <w:rPr>
            <w:rFonts w:cs="Arial"/>
            <w:bCs/>
            <w:sz w:val="14"/>
            <w:szCs w:val="14"/>
          </w:rPr>
          <w:fldChar w:fldCharType="separate"/>
        </w:r>
        <w:r w:rsidR="004E0BC6">
          <w:rPr>
            <w:rFonts w:cs="Arial"/>
            <w:bCs/>
            <w:noProof/>
            <w:sz w:val="14"/>
            <w:szCs w:val="14"/>
          </w:rPr>
          <w:t>4</w:t>
        </w:r>
        <w:r>
          <w:rPr>
            <w:rFonts w:cs="Arial"/>
            <w:bCs/>
            <w:sz w:val="14"/>
            <w:szCs w:val="14"/>
          </w:rPr>
          <w:fldChar w:fldCharType="end"/>
        </w:r>
        <w:r>
          <w:rPr>
            <w:rFonts w:cs="Arial"/>
            <w:bCs/>
            <w:sz w:val="14"/>
            <w:szCs w:val="14"/>
          </w:rPr>
          <w:t xml:space="preserve"> of </w:t>
        </w:r>
        <w:r>
          <w:rPr>
            <w:rFonts w:cs="Arial"/>
            <w:bCs/>
            <w:sz w:val="14"/>
            <w:szCs w:val="14"/>
          </w:rPr>
          <w:fldChar w:fldCharType="begin"/>
        </w:r>
        <w:r>
          <w:rPr>
            <w:rFonts w:cs="Arial"/>
            <w:bCs/>
            <w:sz w:val="14"/>
            <w:szCs w:val="14"/>
          </w:rPr>
          <w:instrText xml:space="preserve"> NUMPAGES  \* Arabic  \* MERGEFORMAT </w:instrText>
        </w:r>
        <w:r>
          <w:rPr>
            <w:rFonts w:cs="Arial"/>
            <w:bCs/>
            <w:sz w:val="14"/>
            <w:szCs w:val="14"/>
          </w:rPr>
          <w:fldChar w:fldCharType="separate"/>
        </w:r>
        <w:r w:rsidR="004E0BC6">
          <w:rPr>
            <w:rFonts w:cs="Arial"/>
            <w:bCs/>
            <w:noProof/>
            <w:sz w:val="14"/>
            <w:szCs w:val="14"/>
          </w:rPr>
          <w:t>4</w:t>
        </w:r>
        <w:r>
          <w:rPr>
            <w:rFonts w:cs="Arial"/>
            <w:bCs/>
            <w:sz w:val="14"/>
            <w:szCs w:val="14"/>
          </w:rPr>
          <w:fldChar w:fldCharType="end"/>
        </w:r>
      </w:p>
    </w:sdtContent>
  </w:sdt>
  <w:p w14:paraId="56989BD8" w14:textId="77777777" w:rsidR="002443E5" w:rsidRDefault="002443E5" w:rsidP="00417645">
    <w:pPr>
      <w:pStyle w:val="Footer"/>
      <w:rPr>
        <w:sz w:val="14"/>
        <w:szCs w:val="14"/>
      </w:rPr>
    </w:pPr>
  </w:p>
  <w:p w14:paraId="379FA428" w14:textId="77777777" w:rsidR="002443E5" w:rsidRDefault="002443E5" w:rsidP="00417645">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D7A6F" w14:textId="50E5507A" w:rsidR="002443E5" w:rsidRDefault="002443E5" w:rsidP="009A4840">
    <w:pPr>
      <w:widowControl w:val="0"/>
      <w:autoSpaceDE w:val="0"/>
      <w:autoSpaceDN w:val="0"/>
      <w:adjustRightInd w:val="0"/>
      <w:spacing w:line="240" w:lineRule="auto"/>
      <w:rPr>
        <w:rFonts w:cs="Arial"/>
        <w:b/>
        <w:bCs/>
        <w:sz w:val="14"/>
        <w:szCs w:val="14"/>
      </w:rPr>
    </w:pPr>
    <w:r>
      <w:rPr>
        <w:rFonts w:cs="Arial"/>
        <w:b/>
        <w:bCs/>
        <w:sz w:val="14"/>
        <w:szCs w:val="14"/>
      </w:rPr>
      <w:t xml:space="preserve"> </w:t>
    </w:r>
  </w:p>
  <w:p w14:paraId="3C4EE278" w14:textId="77777777" w:rsidR="002443E5" w:rsidRDefault="002443E5" w:rsidP="00417645">
    <w:pPr>
      <w:widowControl w:val="0"/>
      <w:autoSpaceDE w:val="0"/>
      <w:autoSpaceDN w:val="0"/>
      <w:adjustRightInd w:val="0"/>
      <w:spacing w:line="240" w:lineRule="auto"/>
      <w:rPr>
        <w:rFonts w:cs="Arial"/>
        <w:b/>
        <w:bCs/>
        <w:sz w:val="14"/>
        <w:szCs w:val="14"/>
      </w:rPr>
    </w:pPr>
  </w:p>
  <w:p w14:paraId="3952EFE2" w14:textId="77777777" w:rsidR="002443E5" w:rsidRDefault="002443E5" w:rsidP="00417645">
    <w:pPr>
      <w:widowControl w:val="0"/>
      <w:autoSpaceDE w:val="0"/>
      <w:autoSpaceDN w:val="0"/>
      <w:adjustRightInd w:val="0"/>
      <w:spacing w:line="240" w:lineRule="auto"/>
      <w:rPr>
        <w:rFonts w:cs="Arial"/>
        <w:bCs/>
        <w:sz w:val="14"/>
        <w:szCs w:val="14"/>
      </w:rPr>
    </w:pPr>
    <w:r>
      <w:rPr>
        <w:rFonts w:cs="Arial"/>
        <w:bCs/>
        <w:sz w:val="14"/>
        <w:szCs w:val="14"/>
      </w:rPr>
      <w:t xml:space="preserve">Page </w:t>
    </w:r>
    <w:r>
      <w:rPr>
        <w:rFonts w:cs="Arial"/>
        <w:bCs/>
        <w:sz w:val="14"/>
        <w:szCs w:val="14"/>
      </w:rPr>
      <w:fldChar w:fldCharType="begin"/>
    </w:r>
    <w:r>
      <w:rPr>
        <w:rFonts w:cs="Arial"/>
        <w:bCs/>
        <w:sz w:val="14"/>
        <w:szCs w:val="14"/>
      </w:rPr>
      <w:instrText xml:space="preserve"> PAGE  \* Arabic  \* MERGEFORMAT </w:instrText>
    </w:r>
    <w:r>
      <w:rPr>
        <w:rFonts w:cs="Arial"/>
        <w:bCs/>
        <w:sz w:val="14"/>
        <w:szCs w:val="14"/>
      </w:rPr>
      <w:fldChar w:fldCharType="separate"/>
    </w:r>
    <w:r w:rsidR="004E0BC6">
      <w:rPr>
        <w:rFonts w:cs="Arial"/>
        <w:bCs/>
        <w:noProof/>
        <w:sz w:val="14"/>
        <w:szCs w:val="14"/>
      </w:rPr>
      <w:t>1</w:t>
    </w:r>
    <w:r>
      <w:rPr>
        <w:rFonts w:cs="Arial"/>
        <w:bCs/>
        <w:sz w:val="14"/>
        <w:szCs w:val="14"/>
      </w:rPr>
      <w:fldChar w:fldCharType="end"/>
    </w:r>
    <w:r>
      <w:rPr>
        <w:rFonts w:cs="Arial"/>
        <w:bCs/>
        <w:sz w:val="14"/>
        <w:szCs w:val="14"/>
      </w:rPr>
      <w:t xml:space="preserve"> of </w:t>
    </w:r>
    <w:r>
      <w:rPr>
        <w:rFonts w:cs="Arial"/>
        <w:bCs/>
        <w:sz w:val="14"/>
        <w:szCs w:val="14"/>
      </w:rPr>
      <w:fldChar w:fldCharType="begin"/>
    </w:r>
    <w:r>
      <w:rPr>
        <w:rFonts w:cs="Arial"/>
        <w:bCs/>
        <w:sz w:val="14"/>
        <w:szCs w:val="14"/>
      </w:rPr>
      <w:instrText xml:space="preserve"> NUMPAGES  \* Arabic  \* MERGEFORMAT </w:instrText>
    </w:r>
    <w:r>
      <w:rPr>
        <w:rFonts w:cs="Arial"/>
        <w:bCs/>
        <w:sz w:val="14"/>
        <w:szCs w:val="14"/>
      </w:rPr>
      <w:fldChar w:fldCharType="separate"/>
    </w:r>
    <w:r w:rsidR="004E0BC6">
      <w:rPr>
        <w:rFonts w:cs="Arial"/>
        <w:bCs/>
        <w:noProof/>
        <w:sz w:val="14"/>
        <w:szCs w:val="14"/>
      </w:rPr>
      <w:t>4</w:t>
    </w:r>
    <w:r>
      <w:rPr>
        <w:rFonts w:cs="Arial"/>
        <w:bCs/>
        <w:sz w:val="14"/>
        <w:szCs w:val="14"/>
      </w:rPr>
      <w:fldChar w:fldCharType="end"/>
    </w:r>
  </w:p>
  <w:p w14:paraId="3DC98638" w14:textId="77777777" w:rsidR="002443E5" w:rsidRDefault="002443E5" w:rsidP="00417645">
    <w:pPr>
      <w:widowControl w:val="0"/>
      <w:autoSpaceDE w:val="0"/>
      <w:autoSpaceDN w:val="0"/>
      <w:adjustRightInd w:val="0"/>
      <w:rPr>
        <w:rFonts w:cs="Arial"/>
        <w:sz w:val="12"/>
        <w:szCs w:val="16"/>
      </w:rPr>
    </w:pPr>
  </w:p>
  <w:p w14:paraId="772EF95E" w14:textId="77777777" w:rsidR="002443E5" w:rsidRDefault="002443E5" w:rsidP="00417645">
    <w:pPr>
      <w:widowControl w:val="0"/>
      <w:autoSpaceDE w:val="0"/>
      <w:autoSpaceDN w:val="0"/>
      <w:adjustRightInd w:val="0"/>
      <w:rPr>
        <w:rFonts w:cs="Arial"/>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AC73E" w14:textId="77777777" w:rsidR="005764DF" w:rsidRDefault="005764DF" w:rsidP="0076126D">
      <w:pPr>
        <w:spacing w:line="240" w:lineRule="auto"/>
      </w:pPr>
      <w:r>
        <w:separator/>
      </w:r>
    </w:p>
  </w:footnote>
  <w:footnote w:type="continuationSeparator" w:id="0">
    <w:p w14:paraId="2D155F3C" w14:textId="77777777" w:rsidR="005764DF" w:rsidRDefault="005764DF" w:rsidP="007612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19732" w14:textId="77777777" w:rsidR="002443E5" w:rsidRDefault="004E0BC6">
    <w:pPr>
      <w:pStyle w:val="Header"/>
    </w:pPr>
    <w:r>
      <w:rPr>
        <w:noProof/>
      </w:rPr>
      <w:pict w14:anchorId="75D67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80599" o:spid="_x0000_s2053" type="#_x0000_t136" style="position:absolute;left:0;text-align:left;margin-left:0;margin-top:0;width:582.35pt;height:97.05pt;rotation:315;z-index:-251658752;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2CA9E" w14:textId="1C16CE1B" w:rsidR="002443E5" w:rsidRDefault="002443E5">
    <w:pPr>
      <w:pStyle w:val="Header"/>
    </w:pPr>
  </w:p>
  <w:p w14:paraId="2653F082" w14:textId="77777777" w:rsidR="002443E5" w:rsidRDefault="002443E5" w:rsidP="00BF490E">
    <w:pPr>
      <w:pStyle w:val="Header"/>
    </w:pPr>
  </w:p>
  <w:p w14:paraId="7D3E6E49" w14:textId="77777777" w:rsidR="002443E5" w:rsidRDefault="002443E5">
    <w:pPr>
      <w:pStyle w:val="Header"/>
    </w:pPr>
  </w:p>
  <w:p w14:paraId="5F19D629" w14:textId="77777777" w:rsidR="002443E5" w:rsidRDefault="002443E5">
    <w:pPr>
      <w:pStyle w:val="Header"/>
    </w:pPr>
  </w:p>
  <w:p w14:paraId="7D39D59B" w14:textId="77777777" w:rsidR="002443E5" w:rsidRDefault="002443E5">
    <w:pPr>
      <w:pStyle w:val="Header"/>
    </w:pPr>
  </w:p>
  <w:p w14:paraId="2EC49F09" w14:textId="77777777" w:rsidR="002443E5" w:rsidRDefault="002443E5">
    <w:pPr>
      <w:pStyle w:val="Header"/>
    </w:pPr>
  </w:p>
  <w:p w14:paraId="4815DC55" w14:textId="77777777" w:rsidR="002443E5" w:rsidRDefault="002443E5">
    <w:pPr>
      <w:pStyle w:val="Header"/>
    </w:pPr>
  </w:p>
  <w:p w14:paraId="09B28E56" w14:textId="77777777" w:rsidR="002443E5" w:rsidRDefault="002443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15CCF" w14:textId="031AF110" w:rsidR="002443E5" w:rsidRDefault="002443E5" w:rsidP="0048781B">
    <w:pPr>
      <w:pStyle w:val="Header"/>
      <w:tabs>
        <w:tab w:val="left" w:pos="7279"/>
      </w:tabs>
    </w:pPr>
  </w:p>
  <w:p w14:paraId="3DE23636" w14:textId="77777777" w:rsidR="002443E5" w:rsidRDefault="002443E5">
    <w:pPr>
      <w:pStyle w:val="Header"/>
    </w:pPr>
  </w:p>
  <w:p w14:paraId="2A468B43" w14:textId="77777777" w:rsidR="002443E5" w:rsidRDefault="002443E5">
    <w:pPr>
      <w:pStyle w:val="Header"/>
    </w:pPr>
  </w:p>
  <w:p w14:paraId="6F59546A" w14:textId="77777777" w:rsidR="002443E5" w:rsidRDefault="002443E5">
    <w:pPr>
      <w:pStyle w:val="Header"/>
    </w:pPr>
  </w:p>
  <w:p w14:paraId="510866DC" w14:textId="77777777" w:rsidR="002443E5" w:rsidRDefault="002443E5">
    <w:pPr>
      <w:pStyle w:val="Header"/>
    </w:pPr>
  </w:p>
  <w:p w14:paraId="4A5EE59B" w14:textId="77777777" w:rsidR="002443E5" w:rsidRDefault="002443E5">
    <w:pPr>
      <w:pStyle w:val="Header"/>
    </w:pPr>
  </w:p>
  <w:p w14:paraId="359B436D" w14:textId="77777777" w:rsidR="002443E5" w:rsidRDefault="002443E5">
    <w:pPr>
      <w:pStyle w:val="Header"/>
    </w:pPr>
  </w:p>
  <w:p w14:paraId="20767774" w14:textId="77777777" w:rsidR="002443E5" w:rsidRDefault="002443E5" w:rsidP="00305C75">
    <w:pPr>
      <w:spacing w:line="240" w:lineRule="auto"/>
    </w:pPr>
  </w:p>
  <w:p w14:paraId="7BD16239" w14:textId="77777777" w:rsidR="002443E5" w:rsidRDefault="002443E5" w:rsidP="00305C75">
    <w:pPr>
      <w:spacing w:line="240" w:lineRule="auto"/>
    </w:pPr>
  </w:p>
  <w:p w14:paraId="2AB210AE" w14:textId="77777777" w:rsidR="002443E5" w:rsidRDefault="002443E5" w:rsidP="00305C75">
    <w:pPr>
      <w:spacing w:line="240" w:lineRule="auto"/>
    </w:pPr>
  </w:p>
  <w:p w14:paraId="0C36B350" w14:textId="77777777" w:rsidR="002443E5" w:rsidRDefault="002443E5" w:rsidP="00305C75">
    <w:pPr>
      <w:spacing w:line="240" w:lineRule="auto"/>
    </w:pPr>
  </w:p>
  <w:p w14:paraId="2989BE35" w14:textId="77777777" w:rsidR="002443E5" w:rsidRDefault="002443E5" w:rsidP="00305C75">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519"/>
    <w:multiLevelType w:val="hybridMultilevel"/>
    <w:tmpl w:val="0622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3A2766"/>
    <w:multiLevelType w:val="hybridMultilevel"/>
    <w:tmpl w:val="64323C66"/>
    <w:lvl w:ilvl="0" w:tplc="80F0F2D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8955A1"/>
    <w:multiLevelType w:val="hybridMultilevel"/>
    <w:tmpl w:val="7D28C56C"/>
    <w:lvl w:ilvl="0" w:tplc="80F0F2D8">
      <w:start w:val="1"/>
      <w:numFmt w:val="lowerRoman"/>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171DD3"/>
    <w:multiLevelType w:val="hybridMultilevel"/>
    <w:tmpl w:val="4A9A5FFC"/>
    <w:lvl w:ilvl="0" w:tplc="9C0E483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2C10F9"/>
    <w:multiLevelType w:val="hybridMultilevel"/>
    <w:tmpl w:val="9BFE0B7A"/>
    <w:lvl w:ilvl="0" w:tplc="B21A06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B36B3"/>
    <w:multiLevelType w:val="hybridMultilevel"/>
    <w:tmpl w:val="1C38F5AE"/>
    <w:lvl w:ilvl="0" w:tplc="1F8A526A">
      <w:start w:val="1"/>
      <w:numFmt w:val="low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nsid w:val="1D295FCA"/>
    <w:multiLevelType w:val="hybridMultilevel"/>
    <w:tmpl w:val="4886B21C"/>
    <w:lvl w:ilvl="0" w:tplc="B21A06C8">
      <w:start w:val="1"/>
      <w:numFmt w:val="lowerLetter"/>
      <w:lvlText w:val="(%1)"/>
      <w:lvlJc w:val="left"/>
      <w:pPr>
        <w:ind w:left="720" w:hanging="360"/>
      </w:pPr>
      <w:rPr>
        <w:rFonts w:hint="default"/>
      </w:rPr>
    </w:lvl>
    <w:lvl w:ilvl="1" w:tplc="80F0F2D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230CA"/>
    <w:multiLevelType w:val="hybridMultilevel"/>
    <w:tmpl w:val="3C04C4D4"/>
    <w:lvl w:ilvl="0" w:tplc="746A75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904C7"/>
    <w:multiLevelType w:val="hybridMultilevel"/>
    <w:tmpl w:val="C714E6F2"/>
    <w:lvl w:ilvl="0" w:tplc="B0565B70">
      <w:start w:val="7"/>
      <w:numFmt w:val="lowerRoman"/>
      <w:lvlText w:val="(%1)"/>
      <w:lvlJc w:val="left"/>
      <w:pPr>
        <w:ind w:left="1684" w:hanging="720"/>
      </w:pPr>
      <w:rPr>
        <w:rFonts w:hint="default"/>
      </w:rPr>
    </w:lvl>
    <w:lvl w:ilvl="1" w:tplc="5C86F928">
      <w:start w:val="1"/>
      <w:numFmt w:val="decimal"/>
      <w:lvlText w:val="(%2)"/>
      <w:lvlJc w:val="left"/>
      <w:pPr>
        <w:ind w:left="2404" w:hanging="360"/>
      </w:pPr>
      <w:rPr>
        <w:rFonts w:hint="default"/>
      </w:r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9">
    <w:nsid w:val="28D9379C"/>
    <w:multiLevelType w:val="hybridMultilevel"/>
    <w:tmpl w:val="477CCE2A"/>
    <w:lvl w:ilvl="0" w:tplc="80F0F2D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1D0B26"/>
    <w:multiLevelType w:val="hybridMultilevel"/>
    <w:tmpl w:val="B6BA7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E301F"/>
    <w:multiLevelType w:val="hybridMultilevel"/>
    <w:tmpl w:val="7864F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AE1D58"/>
    <w:multiLevelType w:val="hybridMultilevel"/>
    <w:tmpl w:val="EC3EBAC6"/>
    <w:lvl w:ilvl="0" w:tplc="B21A06C8">
      <w:start w:val="1"/>
      <w:numFmt w:val="lowerLetter"/>
      <w:lvlText w:val="(%1)"/>
      <w:lvlJc w:val="left"/>
      <w:pPr>
        <w:ind w:left="1230" w:hanging="360"/>
      </w:pPr>
      <w:rPr>
        <w:rFonts w:hint="default"/>
      </w:rPr>
    </w:lvl>
    <w:lvl w:ilvl="1" w:tplc="04090019">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nsid w:val="35B21BD5"/>
    <w:multiLevelType w:val="hybridMultilevel"/>
    <w:tmpl w:val="F5DEE77C"/>
    <w:lvl w:ilvl="0" w:tplc="B0565B70">
      <w:start w:val="7"/>
      <w:numFmt w:val="lowerRoman"/>
      <w:lvlText w:val="(%1)"/>
      <w:lvlJc w:val="left"/>
      <w:pPr>
        <w:ind w:left="1684" w:hanging="720"/>
      </w:pPr>
      <w:rPr>
        <w:rFonts w:hint="default"/>
      </w:rPr>
    </w:lvl>
    <w:lvl w:ilvl="1" w:tplc="04090019">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14">
    <w:nsid w:val="379C29EE"/>
    <w:multiLevelType w:val="hybridMultilevel"/>
    <w:tmpl w:val="9A72922C"/>
    <w:lvl w:ilvl="0" w:tplc="80F0F2D8">
      <w:start w:val="1"/>
      <w:numFmt w:val="lowerRoman"/>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nsid w:val="3A4C40D9"/>
    <w:multiLevelType w:val="hybridMultilevel"/>
    <w:tmpl w:val="0310C3D8"/>
    <w:lvl w:ilvl="0" w:tplc="B21A06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9C438B"/>
    <w:multiLevelType w:val="hybridMultilevel"/>
    <w:tmpl w:val="B6963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8476A5"/>
    <w:multiLevelType w:val="hybridMultilevel"/>
    <w:tmpl w:val="E556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5E5E4F"/>
    <w:multiLevelType w:val="hybridMultilevel"/>
    <w:tmpl w:val="7F2C235E"/>
    <w:lvl w:ilvl="0" w:tplc="80F0F2D8">
      <w:start w:val="1"/>
      <w:numFmt w:val="lowerRoman"/>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9">
    <w:nsid w:val="4B3F062E"/>
    <w:multiLevelType w:val="hybridMultilevel"/>
    <w:tmpl w:val="7DB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162309"/>
    <w:multiLevelType w:val="hybridMultilevel"/>
    <w:tmpl w:val="2A6834CE"/>
    <w:lvl w:ilvl="0" w:tplc="B9D4B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2E28AF"/>
    <w:multiLevelType w:val="hybridMultilevel"/>
    <w:tmpl w:val="E37EFB6A"/>
    <w:lvl w:ilvl="0" w:tplc="AA0C04CE">
      <w:start w:val="7"/>
      <w:numFmt w:val="lowerRoman"/>
      <w:lvlText w:val="(%1)"/>
      <w:lvlJc w:val="left"/>
      <w:pPr>
        <w:ind w:left="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6E36B6"/>
    <w:multiLevelType w:val="hybridMultilevel"/>
    <w:tmpl w:val="4490A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8A42010"/>
    <w:multiLevelType w:val="hybridMultilevel"/>
    <w:tmpl w:val="92BCE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F11D02"/>
    <w:multiLevelType w:val="hybridMultilevel"/>
    <w:tmpl w:val="00B0E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7705472"/>
    <w:multiLevelType w:val="hybridMultilevel"/>
    <w:tmpl w:val="7F2C235E"/>
    <w:lvl w:ilvl="0" w:tplc="80F0F2D8">
      <w:start w:val="1"/>
      <w:numFmt w:val="lowerRoman"/>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6">
    <w:nsid w:val="7C2C7D9D"/>
    <w:multiLevelType w:val="hybridMultilevel"/>
    <w:tmpl w:val="E8FCD1C8"/>
    <w:lvl w:ilvl="0" w:tplc="B21A06C8">
      <w:start w:val="1"/>
      <w:numFmt w:val="lowerLetter"/>
      <w:lvlText w:val="(%1)"/>
      <w:lvlJc w:val="left"/>
      <w:pPr>
        <w:ind w:left="870" w:hanging="360"/>
      </w:pPr>
      <w:rPr>
        <w:rFonts w:hint="default"/>
      </w:rPr>
    </w:lvl>
    <w:lvl w:ilvl="1" w:tplc="80F0F2D8">
      <w:start w:val="1"/>
      <w:numFmt w:val="lowerRoman"/>
      <w:lvlText w:val="(%2)"/>
      <w:lvlJc w:val="left"/>
      <w:pPr>
        <w:ind w:left="1590" w:hanging="360"/>
      </w:pPr>
      <w:rPr>
        <w:rFonts w:hint="default"/>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7">
    <w:nsid w:val="7E281780"/>
    <w:multiLevelType w:val="hybridMultilevel"/>
    <w:tmpl w:val="9C34DC9C"/>
    <w:lvl w:ilvl="0" w:tplc="80F0F2D8">
      <w:start w:val="1"/>
      <w:numFmt w:val="lowerRoman"/>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13"/>
  </w:num>
  <w:num w:numId="3">
    <w:abstractNumId w:val="8"/>
  </w:num>
  <w:num w:numId="4">
    <w:abstractNumId w:val="11"/>
  </w:num>
  <w:num w:numId="5">
    <w:abstractNumId w:val="0"/>
  </w:num>
  <w:num w:numId="6">
    <w:abstractNumId w:val="4"/>
  </w:num>
  <w:num w:numId="7">
    <w:abstractNumId w:val="22"/>
  </w:num>
  <w:num w:numId="8">
    <w:abstractNumId w:val="24"/>
  </w:num>
  <w:num w:numId="9">
    <w:abstractNumId w:val="20"/>
  </w:num>
  <w:num w:numId="10">
    <w:abstractNumId w:val="15"/>
  </w:num>
  <w:num w:numId="11">
    <w:abstractNumId w:val="26"/>
  </w:num>
  <w:num w:numId="12">
    <w:abstractNumId w:val="14"/>
  </w:num>
  <w:num w:numId="13">
    <w:abstractNumId w:val="5"/>
  </w:num>
  <w:num w:numId="14">
    <w:abstractNumId w:val="21"/>
  </w:num>
  <w:num w:numId="15">
    <w:abstractNumId w:val="7"/>
  </w:num>
  <w:num w:numId="16">
    <w:abstractNumId w:val="6"/>
  </w:num>
  <w:num w:numId="17">
    <w:abstractNumId w:val="9"/>
  </w:num>
  <w:num w:numId="18">
    <w:abstractNumId w:val="1"/>
  </w:num>
  <w:num w:numId="19">
    <w:abstractNumId w:val="18"/>
  </w:num>
  <w:num w:numId="20">
    <w:abstractNumId w:val="25"/>
  </w:num>
  <w:num w:numId="21">
    <w:abstractNumId w:val="17"/>
  </w:num>
  <w:num w:numId="22">
    <w:abstractNumId w:val="16"/>
  </w:num>
  <w:num w:numId="23">
    <w:abstractNumId w:val="10"/>
  </w:num>
  <w:num w:numId="24">
    <w:abstractNumId w:val="27"/>
  </w:num>
  <w:num w:numId="25">
    <w:abstractNumId w:val="2"/>
  </w:num>
  <w:num w:numId="26">
    <w:abstractNumId w:val="12"/>
  </w:num>
  <w:num w:numId="27">
    <w:abstractNumId w:val="19"/>
  </w:num>
  <w:num w:numId="28">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ram, Sanjeev">
    <w15:presenceInfo w15:providerId="AD" w15:userId="S-1-5-21-578905535-609244392-313593124-76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24"/>
    <w:rsid w:val="00001DAA"/>
    <w:rsid w:val="0000638D"/>
    <w:rsid w:val="000133E9"/>
    <w:rsid w:val="00015AD2"/>
    <w:rsid w:val="0001728C"/>
    <w:rsid w:val="00021A2B"/>
    <w:rsid w:val="00022DBD"/>
    <w:rsid w:val="00024420"/>
    <w:rsid w:val="00024812"/>
    <w:rsid w:val="00030874"/>
    <w:rsid w:val="00031DC3"/>
    <w:rsid w:val="00034433"/>
    <w:rsid w:val="00034FD1"/>
    <w:rsid w:val="00042A72"/>
    <w:rsid w:val="000439FE"/>
    <w:rsid w:val="00060499"/>
    <w:rsid w:val="00061DF0"/>
    <w:rsid w:val="00071C68"/>
    <w:rsid w:val="00072ECB"/>
    <w:rsid w:val="00080C16"/>
    <w:rsid w:val="00084B45"/>
    <w:rsid w:val="000867EE"/>
    <w:rsid w:val="0009002D"/>
    <w:rsid w:val="00092D76"/>
    <w:rsid w:val="0009501D"/>
    <w:rsid w:val="00096139"/>
    <w:rsid w:val="000A6A98"/>
    <w:rsid w:val="000B0276"/>
    <w:rsid w:val="000B4C01"/>
    <w:rsid w:val="000B6A43"/>
    <w:rsid w:val="000C32EE"/>
    <w:rsid w:val="000C3E7C"/>
    <w:rsid w:val="000C7802"/>
    <w:rsid w:val="000D3F67"/>
    <w:rsid w:val="000D44E9"/>
    <w:rsid w:val="000D6928"/>
    <w:rsid w:val="000D7EBF"/>
    <w:rsid w:val="000E1CEF"/>
    <w:rsid w:val="000E459D"/>
    <w:rsid w:val="000E65FF"/>
    <w:rsid w:val="000F5423"/>
    <w:rsid w:val="000F58DA"/>
    <w:rsid w:val="000F5DE3"/>
    <w:rsid w:val="001037E9"/>
    <w:rsid w:val="00103ED1"/>
    <w:rsid w:val="001139A7"/>
    <w:rsid w:val="001149D7"/>
    <w:rsid w:val="00123E66"/>
    <w:rsid w:val="00124BAA"/>
    <w:rsid w:val="00125997"/>
    <w:rsid w:val="00141139"/>
    <w:rsid w:val="001427B5"/>
    <w:rsid w:val="00151833"/>
    <w:rsid w:val="0015433A"/>
    <w:rsid w:val="001630B9"/>
    <w:rsid w:val="00177D08"/>
    <w:rsid w:val="00180F76"/>
    <w:rsid w:val="001853B0"/>
    <w:rsid w:val="001A00F8"/>
    <w:rsid w:val="001A04AE"/>
    <w:rsid w:val="001A2621"/>
    <w:rsid w:val="001A28DE"/>
    <w:rsid w:val="001A2CBD"/>
    <w:rsid w:val="001A605A"/>
    <w:rsid w:val="001A64A9"/>
    <w:rsid w:val="001B14C3"/>
    <w:rsid w:val="001B25AC"/>
    <w:rsid w:val="001B27C9"/>
    <w:rsid w:val="001B737F"/>
    <w:rsid w:val="001C03BC"/>
    <w:rsid w:val="001C24E6"/>
    <w:rsid w:val="001E1A27"/>
    <w:rsid w:val="001F51D2"/>
    <w:rsid w:val="00202727"/>
    <w:rsid w:val="00205145"/>
    <w:rsid w:val="00207E52"/>
    <w:rsid w:val="00224527"/>
    <w:rsid w:val="002260BE"/>
    <w:rsid w:val="00231643"/>
    <w:rsid w:val="00237A5F"/>
    <w:rsid w:val="00243B14"/>
    <w:rsid w:val="002443E5"/>
    <w:rsid w:val="002467D2"/>
    <w:rsid w:val="00247979"/>
    <w:rsid w:val="0025289D"/>
    <w:rsid w:val="002545F9"/>
    <w:rsid w:val="00261611"/>
    <w:rsid w:val="00281122"/>
    <w:rsid w:val="00294F7C"/>
    <w:rsid w:val="00295EC9"/>
    <w:rsid w:val="00296007"/>
    <w:rsid w:val="00297AB8"/>
    <w:rsid w:val="00297F23"/>
    <w:rsid w:val="002A3872"/>
    <w:rsid w:val="002C0E3B"/>
    <w:rsid w:val="002C17AD"/>
    <w:rsid w:val="002C53B3"/>
    <w:rsid w:val="002E187E"/>
    <w:rsid w:val="002E3F05"/>
    <w:rsid w:val="002F4622"/>
    <w:rsid w:val="002F6B58"/>
    <w:rsid w:val="002F6D62"/>
    <w:rsid w:val="00302B4F"/>
    <w:rsid w:val="00305C75"/>
    <w:rsid w:val="00317B91"/>
    <w:rsid w:val="00322F9D"/>
    <w:rsid w:val="00326C6C"/>
    <w:rsid w:val="00334112"/>
    <w:rsid w:val="00337799"/>
    <w:rsid w:val="00340708"/>
    <w:rsid w:val="0034158C"/>
    <w:rsid w:val="003424CF"/>
    <w:rsid w:val="00345C8C"/>
    <w:rsid w:val="00353083"/>
    <w:rsid w:val="00357F1D"/>
    <w:rsid w:val="00357FFE"/>
    <w:rsid w:val="00360F62"/>
    <w:rsid w:val="0036199F"/>
    <w:rsid w:val="003624D9"/>
    <w:rsid w:val="003654AE"/>
    <w:rsid w:val="00365C1B"/>
    <w:rsid w:val="0037158A"/>
    <w:rsid w:val="00382144"/>
    <w:rsid w:val="00384A80"/>
    <w:rsid w:val="003918CD"/>
    <w:rsid w:val="00391D36"/>
    <w:rsid w:val="003A2562"/>
    <w:rsid w:val="003C5055"/>
    <w:rsid w:val="003C697A"/>
    <w:rsid w:val="003E067C"/>
    <w:rsid w:val="003E586C"/>
    <w:rsid w:val="003E72DA"/>
    <w:rsid w:val="003F7C69"/>
    <w:rsid w:val="004108E3"/>
    <w:rsid w:val="00411F97"/>
    <w:rsid w:val="004135E9"/>
    <w:rsid w:val="004149ED"/>
    <w:rsid w:val="0041529C"/>
    <w:rsid w:val="0041582D"/>
    <w:rsid w:val="00417645"/>
    <w:rsid w:val="004226C8"/>
    <w:rsid w:val="0042513D"/>
    <w:rsid w:val="0043315A"/>
    <w:rsid w:val="0043700A"/>
    <w:rsid w:val="004628FD"/>
    <w:rsid w:val="00463230"/>
    <w:rsid w:val="00464EFD"/>
    <w:rsid w:val="00473411"/>
    <w:rsid w:val="00475647"/>
    <w:rsid w:val="00482A29"/>
    <w:rsid w:val="00485272"/>
    <w:rsid w:val="0048781B"/>
    <w:rsid w:val="00490B04"/>
    <w:rsid w:val="0049374D"/>
    <w:rsid w:val="00493F21"/>
    <w:rsid w:val="004A0137"/>
    <w:rsid w:val="004A6A85"/>
    <w:rsid w:val="004A7D5E"/>
    <w:rsid w:val="004B4224"/>
    <w:rsid w:val="004B5189"/>
    <w:rsid w:val="004B7AE6"/>
    <w:rsid w:val="004C3C9D"/>
    <w:rsid w:val="004C4A9F"/>
    <w:rsid w:val="004D0163"/>
    <w:rsid w:val="004D017B"/>
    <w:rsid w:val="004D2415"/>
    <w:rsid w:val="004D75CD"/>
    <w:rsid w:val="004E0BC6"/>
    <w:rsid w:val="004E6A0F"/>
    <w:rsid w:val="004F0C79"/>
    <w:rsid w:val="004F3574"/>
    <w:rsid w:val="004F6987"/>
    <w:rsid w:val="005058A6"/>
    <w:rsid w:val="00506947"/>
    <w:rsid w:val="00507D67"/>
    <w:rsid w:val="005100B2"/>
    <w:rsid w:val="00510B66"/>
    <w:rsid w:val="00512136"/>
    <w:rsid w:val="00514853"/>
    <w:rsid w:val="005150F6"/>
    <w:rsid w:val="00522E7D"/>
    <w:rsid w:val="0052398D"/>
    <w:rsid w:val="00526B30"/>
    <w:rsid w:val="00533DC1"/>
    <w:rsid w:val="005352E1"/>
    <w:rsid w:val="00536090"/>
    <w:rsid w:val="0053631E"/>
    <w:rsid w:val="00536E1F"/>
    <w:rsid w:val="00537FDC"/>
    <w:rsid w:val="00545B5D"/>
    <w:rsid w:val="0055114F"/>
    <w:rsid w:val="00552FEE"/>
    <w:rsid w:val="00555903"/>
    <w:rsid w:val="00562416"/>
    <w:rsid w:val="0056324B"/>
    <w:rsid w:val="00565C13"/>
    <w:rsid w:val="005764DF"/>
    <w:rsid w:val="0057748B"/>
    <w:rsid w:val="005905DF"/>
    <w:rsid w:val="005A170B"/>
    <w:rsid w:val="005A627A"/>
    <w:rsid w:val="005A68DE"/>
    <w:rsid w:val="005B30FD"/>
    <w:rsid w:val="005B34EA"/>
    <w:rsid w:val="005B785F"/>
    <w:rsid w:val="005C0379"/>
    <w:rsid w:val="005C473C"/>
    <w:rsid w:val="005C5F25"/>
    <w:rsid w:val="005C7BD3"/>
    <w:rsid w:val="005D4E06"/>
    <w:rsid w:val="005D6C0C"/>
    <w:rsid w:val="005E0A51"/>
    <w:rsid w:val="005E1FFD"/>
    <w:rsid w:val="005F0F07"/>
    <w:rsid w:val="005F144B"/>
    <w:rsid w:val="00602C40"/>
    <w:rsid w:val="00605AFB"/>
    <w:rsid w:val="0060792C"/>
    <w:rsid w:val="00607D69"/>
    <w:rsid w:val="00613B6D"/>
    <w:rsid w:val="00615984"/>
    <w:rsid w:val="00625EB8"/>
    <w:rsid w:val="00626EA5"/>
    <w:rsid w:val="00627141"/>
    <w:rsid w:val="00630853"/>
    <w:rsid w:val="006315C5"/>
    <w:rsid w:val="00631B51"/>
    <w:rsid w:val="006513C7"/>
    <w:rsid w:val="00654E4B"/>
    <w:rsid w:val="00661970"/>
    <w:rsid w:val="00663079"/>
    <w:rsid w:val="00663912"/>
    <w:rsid w:val="00665A1C"/>
    <w:rsid w:val="0067137B"/>
    <w:rsid w:val="006802C9"/>
    <w:rsid w:val="00684083"/>
    <w:rsid w:val="00686DCD"/>
    <w:rsid w:val="006930EA"/>
    <w:rsid w:val="006A14B3"/>
    <w:rsid w:val="006A493A"/>
    <w:rsid w:val="006B233C"/>
    <w:rsid w:val="006C4CD4"/>
    <w:rsid w:val="006C4DB3"/>
    <w:rsid w:val="006C608A"/>
    <w:rsid w:val="006C6D35"/>
    <w:rsid w:val="006C7B6C"/>
    <w:rsid w:val="006D3677"/>
    <w:rsid w:val="006E4C72"/>
    <w:rsid w:val="006E64AB"/>
    <w:rsid w:val="006F27F2"/>
    <w:rsid w:val="007110CE"/>
    <w:rsid w:val="007140AE"/>
    <w:rsid w:val="00721A4C"/>
    <w:rsid w:val="00721CB6"/>
    <w:rsid w:val="007220A3"/>
    <w:rsid w:val="00730789"/>
    <w:rsid w:val="007437AA"/>
    <w:rsid w:val="00752BF4"/>
    <w:rsid w:val="0076126D"/>
    <w:rsid w:val="00765B81"/>
    <w:rsid w:val="00767E00"/>
    <w:rsid w:val="007706D4"/>
    <w:rsid w:val="00781EC4"/>
    <w:rsid w:val="00784203"/>
    <w:rsid w:val="00790BFE"/>
    <w:rsid w:val="007910D9"/>
    <w:rsid w:val="007A18E7"/>
    <w:rsid w:val="007C751C"/>
    <w:rsid w:val="007D271B"/>
    <w:rsid w:val="007D2E8F"/>
    <w:rsid w:val="007D783E"/>
    <w:rsid w:val="007E0D1D"/>
    <w:rsid w:val="007E4BB0"/>
    <w:rsid w:val="007F1E53"/>
    <w:rsid w:val="007F3193"/>
    <w:rsid w:val="007F4395"/>
    <w:rsid w:val="007F63CE"/>
    <w:rsid w:val="007F7B58"/>
    <w:rsid w:val="007F7D12"/>
    <w:rsid w:val="00801410"/>
    <w:rsid w:val="008026F1"/>
    <w:rsid w:val="00810C1B"/>
    <w:rsid w:val="00811445"/>
    <w:rsid w:val="0082036D"/>
    <w:rsid w:val="00825C7F"/>
    <w:rsid w:val="00831EA0"/>
    <w:rsid w:val="00853D52"/>
    <w:rsid w:val="00853E0E"/>
    <w:rsid w:val="00853EE4"/>
    <w:rsid w:val="00873081"/>
    <w:rsid w:val="0087750F"/>
    <w:rsid w:val="00884A4C"/>
    <w:rsid w:val="00886398"/>
    <w:rsid w:val="00890A3A"/>
    <w:rsid w:val="00892D6D"/>
    <w:rsid w:val="00895255"/>
    <w:rsid w:val="008A0A71"/>
    <w:rsid w:val="008A5856"/>
    <w:rsid w:val="008B2703"/>
    <w:rsid w:val="008B2A10"/>
    <w:rsid w:val="008C6BB3"/>
    <w:rsid w:val="008C789E"/>
    <w:rsid w:val="008D3C9F"/>
    <w:rsid w:val="008D3DF5"/>
    <w:rsid w:val="008E3015"/>
    <w:rsid w:val="008E5065"/>
    <w:rsid w:val="00901A8C"/>
    <w:rsid w:val="009101E8"/>
    <w:rsid w:val="00910D05"/>
    <w:rsid w:val="009125E6"/>
    <w:rsid w:val="00912CDF"/>
    <w:rsid w:val="009208E2"/>
    <w:rsid w:val="0092129E"/>
    <w:rsid w:val="00926B93"/>
    <w:rsid w:val="0093034E"/>
    <w:rsid w:val="009331A0"/>
    <w:rsid w:val="00937803"/>
    <w:rsid w:val="0094012D"/>
    <w:rsid w:val="00946D56"/>
    <w:rsid w:val="009514C0"/>
    <w:rsid w:val="00960CC3"/>
    <w:rsid w:val="0097506D"/>
    <w:rsid w:val="00977AB5"/>
    <w:rsid w:val="00977E1E"/>
    <w:rsid w:val="00981803"/>
    <w:rsid w:val="00987E6F"/>
    <w:rsid w:val="009901CD"/>
    <w:rsid w:val="0099619E"/>
    <w:rsid w:val="00997762"/>
    <w:rsid w:val="00997C36"/>
    <w:rsid w:val="009A0AC9"/>
    <w:rsid w:val="009A14DB"/>
    <w:rsid w:val="009A240C"/>
    <w:rsid w:val="009A4840"/>
    <w:rsid w:val="009B3688"/>
    <w:rsid w:val="009C0A40"/>
    <w:rsid w:val="009C0F4E"/>
    <w:rsid w:val="009C1431"/>
    <w:rsid w:val="009C59A9"/>
    <w:rsid w:val="009D0144"/>
    <w:rsid w:val="009D6217"/>
    <w:rsid w:val="009E063D"/>
    <w:rsid w:val="009E2262"/>
    <w:rsid w:val="009E28E6"/>
    <w:rsid w:val="009E2B09"/>
    <w:rsid w:val="009E5BAB"/>
    <w:rsid w:val="009F0E84"/>
    <w:rsid w:val="009F3FA7"/>
    <w:rsid w:val="00A0192C"/>
    <w:rsid w:val="00A1200C"/>
    <w:rsid w:val="00A15A8E"/>
    <w:rsid w:val="00A15DA1"/>
    <w:rsid w:val="00A2077B"/>
    <w:rsid w:val="00A22CD6"/>
    <w:rsid w:val="00A25074"/>
    <w:rsid w:val="00A2646C"/>
    <w:rsid w:val="00A31358"/>
    <w:rsid w:val="00A32465"/>
    <w:rsid w:val="00A324F6"/>
    <w:rsid w:val="00A35643"/>
    <w:rsid w:val="00A36517"/>
    <w:rsid w:val="00A407B8"/>
    <w:rsid w:val="00A4129E"/>
    <w:rsid w:val="00A440D8"/>
    <w:rsid w:val="00A44515"/>
    <w:rsid w:val="00A472E3"/>
    <w:rsid w:val="00A47CF9"/>
    <w:rsid w:val="00A52D2C"/>
    <w:rsid w:val="00A57F01"/>
    <w:rsid w:val="00A57FF3"/>
    <w:rsid w:val="00A61700"/>
    <w:rsid w:val="00A63545"/>
    <w:rsid w:val="00A6397B"/>
    <w:rsid w:val="00A670B0"/>
    <w:rsid w:val="00A70191"/>
    <w:rsid w:val="00A71C24"/>
    <w:rsid w:val="00A75BEA"/>
    <w:rsid w:val="00A83718"/>
    <w:rsid w:val="00A861AD"/>
    <w:rsid w:val="00A8695C"/>
    <w:rsid w:val="00A92DC6"/>
    <w:rsid w:val="00AA59BF"/>
    <w:rsid w:val="00AA781E"/>
    <w:rsid w:val="00AA7D73"/>
    <w:rsid w:val="00AB04A9"/>
    <w:rsid w:val="00AB04BC"/>
    <w:rsid w:val="00AB3C70"/>
    <w:rsid w:val="00AB65BB"/>
    <w:rsid w:val="00AC4E52"/>
    <w:rsid w:val="00AC5835"/>
    <w:rsid w:val="00AC728C"/>
    <w:rsid w:val="00AE31A9"/>
    <w:rsid w:val="00AE7507"/>
    <w:rsid w:val="00AF0EFD"/>
    <w:rsid w:val="00B05905"/>
    <w:rsid w:val="00B1201C"/>
    <w:rsid w:val="00B1234D"/>
    <w:rsid w:val="00B14C1C"/>
    <w:rsid w:val="00B2460B"/>
    <w:rsid w:val="00B301DA"/>
    <w:rsid w:val="00B30AA7"/>
    <w:rsid w:val="00B362D6"/>
    <w:rsid w:val="00B40FFB"/>
    <w:rsid w:val="00B430B2"/>
    <w:rsid w:val="00B4699C"/>
    <w:rsid w:val="00B543D0"/>
    <w:rsid w:val="00B54DFD"/>
    <w:rsid w:val="00B566EC"/>
    <w:rsid w:val="00B60CB7"/>
    <w:rsid w:val="00B70B47"/>
    <w:rsid w:val="00B7158B"/>
    <w:rsid w:val="00B76AE7"/>
    <w:rsid w:val="00B8134B"/>
    <w:rsid w:val="00B81CDA"/>
    <w:rsid w:val="00B84DB2"/>
    <w:rsid w:val="00B93D0F"/>
    <w:rsid w:val="00B958B6"/>
    <w:rsid w:val="00BA00F4"/>
    <w:rsid w:val="00BA0311"/>
    <w:rsid w:val="00BA3EED"/>
    <w:rsid w:val="00BA681F"/>
    <w:rsid w:val="00BB64B1"/>
    <w:rsid w:val="00BD087B"/>
    <w:rsid w:val="00BD0E42"/>
    <w:rsid w:val="00BE6445"/>
    <w:rsid w:val="00BF1852"/>
    <w:rsid w:val="00BF490E"/>
    <w:rsid w:val="00BF5799"/>
    <w:rsid w:val="00BF584D"/>
    <w:rsid w:val="00BF7E0B"/>
    <w:rsid w:val="00C02457"/>
    <w:rsid w:val="00C03111"/>
    <w:rsid w:val="00C03451"/>
    <w:rsid w:val="00C05BBB"/>
    <w:rsid w:val="00C12AF7"/>
    <w:rsid w:val="00C2168C"/>
    <w:rsid w:val="00C26198"/>
    <w:rsid w:val="00C31209"/>
    <w:rsid w:val="00C341A5"/>
    <w:rsid w:val="00C35D7C"/>
    <w:rsid w:val="00C47D31"/>
    <w:rsid w:val="00C56613"/>
    <w:rsid w:val="00C56CBC"/>
    <w:rsid w:val="00C70EB7"/>
    <w:rsid w:val="00C7148A"/>
    <w:rsid w:val="00C801C4"/>
    <w:rsid w:val="00C811B9"/>
    <w:rsid w:val="00C83F75"/>
    <w:rsid w:val="00C976FF"/>
    <w:rsid w:val="00C97D64"/>
    <w:rsid w:val="00CB0B72"/>
    <w:rsid w:val="00CB693D"/>
    <w:rsid w:val="00CB710E"/>
    <w:rsid w:val="00CC7850"/>
    <w:rsid w:val="00CD13BD"/>
    <w:rsid w:val="00CD3D7A"/>
    <w:rsid w:val="00CD403E"/>
    <w:rsid w:val="00CD4CC9"/>
    <w:rsid w:val="00CD7BB7"/>
    <w:rsid w:val="00CE2149"/>
    <w:rsid w:val="00CE657A"/>
    <w:rsid w:val="00CE6947"/>
    <w:rsid w:val="00CF3775"/>
    <w:rsid w:val="00CF4682"/>
    <w:rsid w:val="00CF4847"/>
    <w:rsid w:val="00D014CC"/>
    <w:rsid w:val="00D018E5"/>
    <w:rsid w:val="00D1121B"/>
    <w:rsid w:val="00D36962"/>
    <w:rsid w:val="00D37388"/>
    <w:rsid w:val="00D40CBA"/>
    <w:rsid w:val="00D45449"/>
    <w:rsid w:val="00D51AE9"/>
    <w:rsid w:val="00D620A7"/>
    <w:rsid w:val="00D72F2C"/>
    <w:rsid w:val="00D73280"/>
    <w:rsid w:val="00D81F35"/>
    <w:rsid w:val="00D94142"/>
    <w:rsid w:val="00D96D90"/>
    <w:rsid w:val="00D96E62"/>
    <w:rsid w:val="00D975B3"/>
    <w:rsid w:val="00DA12AB"/>
    <w:rsid w:val="00DA3E9D"/>
    <w:rsid w:val="00DB1963"/>
    <w:rsid w:val="00DB284E"/>
    <w:rsid w:val="00DB5601"/>
    <w:rsid w:val="00DB6483"/>
    <w:rsid w:val="00DC40EF"/>
    <w:rsid w:val="00DD088A"/>
    <w:rsid w:val="00DD5FDB"/>
    <w:rsid w:val="00DE4ACB"/>
    <w:rsid w:val="00DE6594"/>
    <w:rsid w:val="00DE73CB"/>
    <w:rsid w:val="00DF0D9E"/>
    <w:rsid w:val="00DF1A34"/>
    <w:rsid w:val="00DF722D"/>
    <w:rsid w:val="00E00E48"/>
    <w:rsid w:val="00E03950"/>
    <w:rsid w:val="00E07C96"/>
    <w:rsid w:val="00E13F1C"/>
    <w:rsid w:val="00E15EFE"/>
    <w:rsid w:val="00E33073"/>
    <w:rsid w:val="00E40600"/>
    <w:rsid w:val="00E44937"/>
    <w:rsid w:val="00E525F8"/>
    <w:rsid w:val="00E52B48"/>
    <w:rsid w:val="00E55004"/>
    <w:rsid w:val="00E622F8"/>
    <w:rsid w:val="00E62B5A"/>
    <w:rsid w:val="00E76D0C"/>
    <w:rsid w:val="00E96F19"/>
    <w:rsid w:val="00EA560D"/>
    <w:rsid w:val="00EB2BD1"/>
    <w:rsid w:val="00EB307F"/>
    <w:rsid w:val="00ED0CC6"/>
    <w:rsid w:val="00ED200B"/>
    <w:rsid w:val="00ED5A6B"/>
    <w:rsid w:val="00EE5F4C"/>
    <w:rsid w:val="00EF563B"/>
    <w:rsid w:val="00F02D1F"/>
    <w:rsid w:val="00F12390"/>
    <w:rsid w:val="00F12F4B"/>
    <w:rsid w:val="00F208E3"/>
    <w:rsid w:val="00F24348"/>
    <w:rsid w:val="00F30DF6"/>
    <w:rsid w:val="00F313C0"/>
    <w:rsid w:val="00F33AB1"/>
    <w:rsid w:val="00F343EE"/>
    <w:rsid w:val="00F36803"/>
    <w:rsid w:val="00F37AF1"/>
    <w:rsid w:val="00F37D25"/>
    <w:rsid w:val="00F41CDB"/>
    <w:rsid w:val="00F476E6"/>
    <w:rsid w:val="00F551C6"/>
    <w:rsid w:val="00F5725B"/>
    <w:rsid w:val="00F621E6"/>
    <w:rsid w:val="00F74E63"/>
    <w:rsid w:val="00F75776"/>
    <w:rsid w:val="00F812D1"/>
    <w:rsid w:val="00F923F5"/>
    <w:rsid w:val="00F976F7"/>
    <w:rsid w:val="00FA0005"/>
    <w:rsid w:val="00FA5A8E"/>
    <w:rsid w:val="00FA7FAE"/>
    <w:rsid w:val="00FB48AE"/>
    <w:rsid w:val="00FB599C"/>
    <w:rsid w:val="00FB5B54"/>
    <w:rsid w:val="00FC1983"/>
    <w:rsid w:val="00FC29F9"/>
    <w:rsid w:val="00FC67D7"/>
    <w:rsid w:val="00FD6EFE"/>
    <w:rsid w:val="00FD76DB"/>
    <w:rsid w:val="00FE453E"/>
    <w:rsid w:val="00FE53D2"/>
    <w:rsid w:val="00FE6FD4"/>
    <w:rsid w:val="00FF078F"/>
    <w:rsid w:val="00FF1FBE"/>
  </w:rsids>
  <m:mathPr>
    <m:mathFont m:val="Cambria Math"/>
    <m:brkBin m:val="before"/>
    <m:brkBinSub m:val="--"/>
    <m:smallFrac m:val="0"/>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F27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90"/>
    <w:pPr>
      <w:spacing w:after="0" w:line="288" w:lineRule="auto"/>
      <w:jc w:val="both"/>
    </w:pPr>
    <w:rPr>
      <w:rFonts w:eastAsiaTheme="minorEastAsia"/>
      <w:color w:val="262626" w:themeColor="text1" w:themeTint="D9"/>
      <w:sz w:val="20"/>
      <w:szCs w:val="24"/>
      <w:lang w:val="en-US"/>
    </w:rPr>
  </w:style>
  <w:style w:type="paragraph" w:styleId="Heading1">
    <w:name w:val="heading 1"/>
    <w:basedOn w:val="Normal"/>
    <w:next w:val="Normal"/>
    <w:link w:val="Heading1Char"/>
    <w:uiPriority w:val="9"/>
    <w:qFormat/>
    <w:rsid w:val="00A6397B"/>
    <w:pPr>
      <w:outlineLvl w:val="0"/>
    </w:pPr>
    <w:rPr>
      <w:b/>
      <w:caps/>
      <w:szCs w:val="20"/>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rFonts w:eastAsiaTheme="majorEastAsia" w:cstheme="majorBidi"/>
      <w:b/>
      <w:color w:val="009FE3" w:themeColor="accent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6126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nhideWhenUsed/>
    <w:rsid w:val="0076126D"/>
    <w:pPr>
      <w:tabs>
        <w:tab w:val="center" w:pos="4513"/>
        <w:tab w:val="right" w:pos="9026"/>
      </w:tabs>
      <w:spacing w:line="240" w:lineRule="auto"/>
    </w:pPr>
  </w:style>
  <w:style w:type="character" w:customStyle="1" w:styleId="FooterChar">
    <w:name w:val="Footer Char"/>
    <w:basedOn w:val="DefaultParagraphFont"/>
    <w:link w:val="Footer"/>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825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397B"/>
    <w:rPr>
      <w:rFonts w:eastAsiaTheme="minorEastAsia"/>
      <w:b/>
      <w:caps/>
      <w:color w:val="262626" w:themeColor="text1" w:themeTint="D9"/>
      <w:sz w:val="20"/>
      <w:szCs w:val="20"/>
      <w:lang w:val="en-US"/>
    </w:rPr>
  </w:style>
  <w:style w:type="paragraph" w:styleId="NoSpacing">
    <w:name w:val="No Spacing"/>
    <w:uiPriority w:val="1"/>
    <w:qFormat/>
    <w:rsid w:val="00BF490E"/>
    <w:pPr>
      <w:spacing w:after="0" w:line="240" w:lineRule="auto"/>
      <w:jc w:val="both"/>
    </w:pPr>
    <w:rPr>
      <w:rFonts w:ascii="Arial" w:eastAsiaTheme="minorEastAsia" w:hAnsi="Arial"/>
      <w:color w:val="262626" w:themeColor="text1" w:themeTint="D9"/>
      <w:sz w:val="20"/>
      <w:szCs w:val="24"/>
      <w:lang w:val="en-US"/>
    </w:rPr>
  </w:style>
  <w:style w:type="character" w:customStyle="1" w:styleId="Heading2Char">
    <w:name w:val="Heading 2 Char"/>
    <w:basedOn w:val="DefaultParagraphFont"/>
    <w:link w:val="Heading2"/>
    <w:uiPriority w:val="9"/>
    <w:semiHidden/>
    <w:rsid w:val="00BF490E"/>
    <w:rPr>
      <w:rFonts w:ascii="Arial" w:eastAsiaTheme="majorEastAsia" w:hAnsi="Arial" w:cstheme="majorBidi"/>
      <w:b/>
      <w:color w:val="009FE3" w:themeColor="accent3"/>
      <w:sz w:val="24"/>
      <w:szCs w:val="26"/>
      <w:lang w:val="en-US"/>
    </w:rPr>
  </w:style>
  <w:style w:type="table" w:customStyle="1" w:styleId="TableGrid1">
    <w:name w:val="Table Grid1"/>
    <w:basedOn w:val="TableNormal"/>
    <w:uiPriority w:val="59"/>
    <w:rsid w:val="008E30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F1C"/>
    <w:pPr>
      <w:ind w:left="720"/>
      <w:contextualSpacing/>
    </w:pPr>
  </w:style>
  <w:style w:type="character" w:styleId="CommentReference">
    <w:name w:val="annotation reference"/>
    <w:basedOn w:val="DefaultParagraphFont"/>
    <w:uiPriority w:val="99"/>
    <w:semiHidden/>
    <w:unhideWhenUsed/>
    <w:rsid w:val="003C697A"/>
    <w:rPr>
      <w:sz w:val="16"/>
      <w:szCs w:val="16"/>
    </w:rPr>
  </w:style>
  <w:style w:type="paragraph" w:styleId="CommentText">
    <w:name w:val="annotation text"/>
    <w:basedOn w:val="Normal"/>
    <w:link w:val="CommentTextChar"/>
    <w:uiPriority w:val="99"/>
    <w:unhideWhenUsed/>
    <w:rsid w:val="003C697A"/>
    <w:pPr>
      <w:spacing w:line="240" w:lineRule="auto"/>
    </w:pPr>
    <w:rPr>
      <w:szCs w:val="20"/>
    </w:rPr>
  </w:style>
  <w:style w:type="character" w:customStyle="1" w:styleId="CommentTextChar">
    <w:name w:val="Comment Text Char"/>
    <w:basedOn w:val="DefaultParagraphFont"/>
    <w:link w:val="CommentText"/>
    <w:uiPriority w:val="99"/>
    <w:rsid w:val="003C697A"/>
    <w:rPr>
      <w:rFonts w:eastAsiaTheme="minorEastAsia"/>
      <w:color w:val="262626" w:themeColor="text1" w:themeTint="D9"/>
      <w:sz w:val="20"/>
      <w:szCs w:val="20"/>
      <w:lang w:val="en-US"/>
    </w:rPr>
  </w:style>
  <w:style w:type="paragraph" w:styleId="CommentSubject">
    <w:name w:val="annotation subject"/>
    <w:basedOn w:val="CommentText"/>
    <w:next w:val="CommentText"/>
    <w:link w:val="CommentSubjectChar"/>
    <w:uiPriority w:val="99"/>
    <w:semiHidden/>
    <w:unhideWhenUsed/>
    <w:rsid w:val="003C697A"/>
    <w:rPr>
      <w:b/>
      <w:bCs/>
    </w:rPr>
  </w:style>
  <w:style w:type="character" w:customStyle="1" w:styleId="CommentSubjectChar">
    <w:name w:val="Comment Subject Char"/>
    <w:basedOn w:val="CommentTextChar"/>
    <w:link w:val="CommentSubject"/>
    <w:uiPriority w:val="99"/>
    <w:semiHidden/>
    <w:rsid w:val="003C697A"/>
    <w:rPr>
      <w:rFonts w:eastAsiaTheme="minorEastAsia"/>
      <w:b/>
      <w:bCs/>
      <w:color w:val="262626" w:themeColor="text1" w:themeTint="D9"/>
      <w:sz w:val="20"/>
      <w:szCs w:val="20"/>
      <w:lang w:val="en-US"/>
    </w:rPr>
  </w:style>
  <w:style w:type="paragraph" w:styleId="Revision">
    <w:name w:val="Revision"/>
    <w:hidden/>
    <w:uiPriority w:val="99"/>
    <w:semiHidden/>
    <w:rsid w:val="00DB6483"/>
    <w:pPr>
      <w:spacing w:after="0" w:line="240" w:lineRule="auto"/>
    </w:pPr>
    <w:rPr>
      <w:rFonts w:eastAsiaTheme="minorEastAsia"/>
      <w:color w:val="262626" w:themeColor="text1" w:themeTint="D9"/>
      <w:sz w:val="20"/>
      <w:szCs w:val="24"/>
      <w:lang w:val="en-US"/>
    </w:rPr>
  </w:style>
  <w:style w:type="character" w:styleId="Hyperlink">
    <w:name w:val="Hyperlink"/>
    <w:basedOn w:val="DefaultParagraphFont"/>
    <w:uiPriority w:val="99"/>
    <w:unhideWhenUsed/>
    <w:rsid w:val="006B233C"/>
    <w:rPr>
      <w:color w:val="F32836" w:themeColor="hyperlink"/>
      <w:u w:val="single"/>
    </w:rPr>
  </w:style>
  <w:style w:type="paragraph" w:customStyle="1" w:styleId="chaphead">
    <w:name w:val="chaphead"/>
    <w:basedOn w:val="Normal"/>
    <w:rsid w:val="004149ED"/>
    <w:pPr>
      <w:spacing w:before="600" w:line="200" w:lineRule="exact"/>
      <w:jc w:val="center"/>
    </w:pPr>
    <w:rPr>
      <w:rFonts w:ascii="Helvetica-Light" w:eastAsia="Times New Roman" w:hAnsi="Helvetica-Light" w:cs="Times New Roman"/>
      <w:b/>
      <w:color w:val="000080"/>
      <w:sz w:val="28"/>
      <w:szCs w:val="20"/>
      <w:lang w:val="en-GB"/>
    </w:rPr>
  </w:style>
  <w:style w:type="paragraph" w:customStyle="1" w:styleId="head1">
    <w:name w:val="head1"/>
    <w:basedOn w:val="Normal"/>
    <w:rsid w:val="004149ED"/>
    <w:pPr>
      <w:keepNext/>
      <w:keepLines/>
      <w:tabs>
        <w:tab w:val="center" w:pos="4153"/>
        <w:tab w:val="right" w:pos="8306"/>
      </w:tabs>
      <w:suppressAutoHyphens/>
      <w:spacing w:before="240" w:line="320" w:lineRule="exact"/>
      <w:jc w:val="left"/>
    </w:pPr>
    <w:rPr>
      <w:rFonts w:ascii="Rockwell" w:eastAsia="Times New Roman" w:hAnsi="Rockwell" w:cs="Times New Roman"/>
      <w:color w:val="auto"/>
      <w:spacing w:val="-10"/>
      <w:sz w:val="28"/>
      <w:szCs w:val="20"/>
      <w:lang w:val="en-GB"/>
    </w:rPr>
  </w:style>
  <w:style w:type="paragraph" w:styleId="FootnoteText">
    <w:name w:val="footnote text"/>
    <w:basedOn w:val="Normal"/>
    <w:link w:val="FootnoteTextChar"/>
    <w:rsid w:val="004149ED"/>
    <w:pPr>
      <w:widowControl w:val="0"/>
      <w:spacing w:before="120" w:line="240" w:lineRule="auto"/>
    </w:pPr>
    <w:rPr>
      <w:rFonts w:ascii="Times New Roman" w:eastAsia="Times New Roman" w:hAnsi="Times New Roman" w:cs="Times New Roman"/>
      <w:color w:val="auto"/>
      <w:szCs w:val="20"/>
      <w:lang w:val="en-GB"/>
    </w:rPr>
  </w:style>
  <w:style w:type="character" w:customStyle="1" w:styleId="FootnoteTextChar">
    <w:name w:val="Footnote Text Char"/>
    <w:basedOn w:val="DefaultParagraphFont"/>
    <w:link w:val="FootnoteText"/>
    <w:rsid w:val="004149ED"/>
    <w:rPr>
      <w:rFonts w:ascii="Times New Roman" w:eastAsia="Times New Roman" w:hAnsi="Times New Roman" w:cs="Times New Roman"/>
      <w:sz w:val="20"/>
      <w:szCs w:val="20"/>
      <w:lang w:val="en-GB"/>
    </w:rPr>
  </w:style>
  <w:style w:type="character" w:styleId="FootnoteReference">
    <w:name w:val="footnote reference"/>
    <w:rsid w:val="004149ED"/>
    <w:rPr>
      <w:vertAlign w:val="superscript"/>
    </w:rPr>
  </w:style>
  <w:style w:type="paragraph" w:customStyle="1" w:styleId="000">
    <w:name w:val="0.00"/>
    <w:basedOn w:val="Normal"/>
    <w:rsid w:val="004149ED"/>
    <w:pPr>
      <w:tabs>
        <w:tab w:val="left" w:pos="510"/>
      </w:tabs>
      <w:spacing w:before="80" w:line="200" w:lineRule="exact"/>
      <w:ind w:left="510" w:hanging="510"/>
    </w:pPr>
    <w:rPr>
      <w:rFonts w:ascii="Helvetica-Light" w:eastAsia="Times New Roman" w:hAnsi="Helvetica-Light" w:cs="Times New Roman"/>
      <w:color w:val="000000"/>
      <w:sz w:val="18"/>
      <w:szCs w:val="20"/>
      <w:lang w:val="en-GB"/>
    </w:rPr>
  </w:style>
  <w:style w:type="paragraph" w:customStyle="1" w:styleId="a-000">
    <w:name w:val="(a)-0.00"/>
    <w:basedOn w:val="Normal"/>
    <w:link w:val="a-000Char"/>
    <w:rsid w:val="004A0137"/>
    <w:pPr>
      <w:tabs>
        <w:tab w:val="left" w:pos="510"/>
        <w:tab w:val="left" w:pos="851"/>
      </w:tabs>
      <w:spacing w:before="40" w:line="200" w:lineRule="exact"/>
      <w:ind w:left="851" w:hanging="851"/>
    </w:pPr>
    <w:rPr>
      <w:rFonts w:ascii="Helvetica-Light" w:eastAsia="Times New Roman" w:hAnsi="Helvetica-Light" w:cs="Times New Roman"/>
      <w:color w:val="000000"/>
      <w:sz w:val="18"/>
      <w:szCs w:val="20"/>
      <w:lang w:val="en-GB"/>
    </w:rPr>
  </w:style>
  <w:style w:type="character" w:customStyle="1" w:styleId="a-000Char">
    <w:name w:val="(a)-0.00 Char"/>
    <w:link w:val="a-000"/>
    <w:rsid w:val="004A0137"/>
    <w:rPr>
      <w:rFonts w:ascii="Helvetica-Light" w:eastAsia="Times New Roman" w:hAnsi="Helvetica-Light" w:cs="Times New Roman"/>
      <w:color w:val="000000"/>
      <w:sz w:val="18"/>
      <w:szCs w:val="20"/>
      <w:lang w:val="en-GB"/>
    </w:rPr>
  </w:style>
  <w:style w:type="paragraph" w:customStyle="1" w:styleId="parafullout">
    <w:name w:val="parafullout"/>
    <w:basedOn w:val="Normal"/>
    <w:rsid w:val="0067137B"/>
    <w:pPr>
      <w:spacing w:before="60" w:line="200" w:lineRule="exact"/>
    </w:pPr>
    <w:rPr>
      <w:rFonts w:ascii="Helvetica-Light" w:eastAsia="Times New Roman" w:hAnsi="Helvetica-Light" w:cs="Times New Roman"/>
      <w:color w:val="auto"/>
      <w:sz w:val="18"/>
      <w:szCs w:val="20"/>
      <w:lang w:val="en-GB"/>
    </w:rPr>
  </w:style>
  <w:style w:type="paragraph" w:styleId="Title">
    <w:name w:val="Title"/>
    <w:basedOn w:val="Normal"/>
    <w:link w:val="TitleChar"/>
    <w:qFormat/>
    <w:rsid w:val="0067137B"/>
    <w:pPr>
      <w:pBdr>
        <w:bottom w:val="single" w:sz="6" w:space="3" w:color="auto"/>
      </w:pBdr>
      <w:spacing w:line="400" w:lineRule="exact"/>
      <w:jc w:val="center"/>
    </w:pPr>
    <w:rPr>
      <w:rFonts w:ascii="Rockwell" w:eastAsia="Times New Roman" w:hAnsi="Rockwell" w:cs="Times New Roman"/>
      <w:color w:val="auto"/>
      <w:sz w:val="40"/>
      <w:szCs w:val="20"/>
      <w:lang w:val="en-GB"/>
    </w:rPr>
  </w:style>
  <w:style w:type="character" w:customStyle="1" w:styleId="TitleChar">
    <w:name w:val="Title Char"/>
    <w:basedOn w:val="DefaultParagraphFont"/>
    <w:link w:val="Title"/>
    <w:rsid w:val="0067137B"/>
    <w:rPr>
      <w:rFonts w:ascii="Rockwell" w:eastAsia="Times New Roman" w:hAnsi="Rockwell" w:cs="Times New Roman"/>
      <w:sz w:val="40"/>
      <w:szCs w:val="20"/>
      <w:lang w:val="en-GB"/>
    </w:rPr>
  </w:style>
  <w:style w:type="paragraph" w:customStyle="1" w:styleId="content-11">
    <w:name w:val="content-1.1"/>
    <w:basedOn w:val="Normal"/>
    <w:rsid w:val="001A00F8"/>
    <w:pPr>
      <w:tabs>
        <w:tab w:val="left" w:pos="567"/>
        <w:tab w:val="right" w:leader="dot" w:pos="6521"/>
      </w:tabs>
      <w:suppressAutoHyphens/>
      <w:spacing w:before="60" w:line="200" w:lineRule="exact"/>
      <w:ind w:left="567" w:hanging="567"/>
      <w:jc w:val="left"/>
    </w:pPr>
    <w:rPr>
      <w:rFonts w:ascii="Helvetica-Light" w:eastAsia="Times New Roman" w:hAnsi="Helvetica-Light" w:cs="Times New Roman"/>
      <w:color w:val="auto"/>
      <w:sz w:val="18"/>
      <w:szCs w:val="20"/>
      <w:lang w:val="en-GB"/>
    </w:rPr>
  </w:style>
  <w:style w:type="paragraph" w:customStyle="1" w:styleId="head2">
    <w:name w:val="head2"/>
    <w:basedOn w:val="Normal"/>
    <w:rsid w:val="007A18E7"/>
    <w:pPr>
      <w:keepNext/>
      <w:keepLines/>
      <w:suppressAutoHyphens/>
      <w:spacing w:before="160" w:line="220" w:lineRule="exact"/>
      <w:jc w:val="left"/>
    </w:pPr>
    <w:rPr>
      <w:rFonts w:ascii="Rockwell" w:eastAsia="Times New Roman" w:hAnsi="Rockwell" w:cs="Times New Roman"/>
      <w:color w:val="000000"/>
      <w:szCs w:val="20"/>
      <w:lang w:val="en-GB"/>
    </w:rPr>
  </w:style>
  <w:style w:type="paragraph" w:customStyle="1" w:styleId="i-000">
    <w:name w:val="(i)-0.00"/>
    <w:basedOn w:val="Normal"/>
    <w:rsid w:val="007A18E7"/>
    <w:pPr>
      <w:tabs>
        <w:tab w:val="right" w:pos="1191"/>
        <w:tab w:val="left" w:pos="1361"/>
      </w:tabs>
      <w:spacing w:before="40" w:line="200" w:lineRule="exact"/>
      <w:ind w:left="1361" w:hanging="1361"/>
    </w:pPr>
    <w:rPr>
      <w:rFonts w:ascii="Helvetica-Light" w:eastAsia="Times New Roman" w:hAnsi="Helvetica-Light" w:cs="Times New Roman"/>
      <w:color w:val="auto"/>
      <w:sz w:val="18"/>
      <w:szCs w:val="20"/>
      <w:lang w:val="en-GB"/>
    </w:rPr>
  </w:style>
  <w:style w:type="paragraph" w:customStyle="1" w:styleId="tabletext">
    <w:name w:val="tabletext"/>
    <w:basedOn w:val="Normal"/>
    <w:rsid w:val="00C2168C"/>
    <w:pPr>
      <w:spacing w:line="180" w:lineRule="exact"/>
      <w:jc w:val="left"/>
    </w:pPr>
    <w:rPr>
      <w:rFonts w:ascii="Helvetica-Light" w:eastAsia="Times New Roman" w:hAnsi="Helvetica-Light" w:cs="Times New Roman"/>
      <w:color w:val="000000"/>
      <w:sz w:val="1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90"/>
    <w:pPr>
      <w:spacing w:after="0" w:line="288" w:lineRule="auto"/>
      <w:jc w:val="both"/>
    </w:pPr>
    <w:rPr>
      <w:rFonts w:eastAsiaTheme="minorEastAsia"/>
      <w:color w:val="262626" w:themeColor="text1" w:themeTint="D9"/>
      <w:sz w:val="20"/>
      <w:szCs w:val="24"/>
      <w:lang w:val="en-US"/>
    </w:rPr>
  </w:style>
  <w:style w:type="paragraph" w:styleId="Heading1">
    <w:name w:val="heading 1"/>
    <w:basedOn w:val="Normal"/>
    <w:next w:val="Normal"/>
    <w:link w:val="Heading1Char"/>
    <w:uiPriority w:val="9"/>
    <w:qFormat/>
    <w:rsid w:val="00A6397B"/>
    <w:pPr>
      <w:outlineLvl w:val="0"/>
    </w:pPr>
    <w:rPr>
      <w:b/>
      <w:caps/>
      <w:szCs w:val="20"/>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rFonts w:eastAsiaTheme="majorEastAsia" w:cstheme="majorBidi"/>
      <w:b/>
      <w:color w:val="009FE3" w:themeColor="accent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6126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nhideWhenUsed/>
    <w:rsid w:val="0076126D"/>
    <w:pPr>
      <w:tabs>
        <w:tab w:val="center" w:pos="4513"/>
        <w:tab w:val="right" w:pos="9026"/>
      </w:tabs>
      <w:spacing w:line="240" w:lineRule="auto"/>
    </w:pPr>
  </w:style>
  <w:style w:type="character" w:customStyle="1" w:styleId="FooterChar">
    <w:name w:val="Footer Char"/>
    <w:basedOn w:val="DefaultParagraphFont"/>
    <w:link w:val="Footer"/>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825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397B"/>
    <w:rPr>
      <w:rFonts w:eastAsiaTheme="minorEastAsia"/>
      <w:b/>
      <w:caps/>
      <w:color w:val="262626" w:themeColor="text1" w:themeTint="D9"/>
      <w:sz w:val="20"/>
      <w:szCs w:val="20"/>
      <w:lang w:val="en-US"/>
    </w:rPr>
  </w:style>
  <w:style w:type="paragraph" w:styleId="NoSpacing">
    <w:name w:val="No Spacing"/>
    <w:uiPriority w:val="1"/>
    <w:qFormat/>
    <w:rsid w:val="00BF490E"/>
    <w:pPr>
      <w:spacing w:after="0" w:line="240" w:lineRule="auto"/>
      <w:jc w:val="both"/>
    </w:pPr>
    <w:rPr>
      <w:rFonts w:ascii="Arial" w:eastAsiaTheme="minorEastAsia" w:hAnsi="Arial"/>
      <w:color w:val="262626" w:themeColor="text1" w:themeTint="D9"/>
      <w:sz w:val="20"/>
      <w:szCs w:val="24"/>
      <w:lang w:val="en-US"/>
    </w:rPr>
  </w:style>
  <w:style w:type="character" w:customStyle="1" w:styleId="Heading2Char">
    <w:name w:val="Heading 2 Char"/>
    <w:basedOn w:val="DefaultParagraphFont"/>
    <w:link w:val="Heading2"/>
    <w:uiPriority w:val="9"/>
    <w:semiHidden/>
    <w:rsid w:val="00BF490E"/>
    <w:rPr>
      <w:rFonts w:ascii="Arial" w:eastAsiaTheme="majorEastAsia" w:hAnsi="Arial" w:cstheme="majorBidi"/>
      <w:b/>
      <w:color w:val="009FE3" w:themeColor="accent3"/>
      <w:sz w:val="24"/>
      <w:szCs w:val="26"/>
      <w:lang w:val="en-US"/>
    </w:rPr>
  </w:style>
  <w:style w:type="table" w:customStyle="1" w:styleId="TableGrid1">
    <w:name w:val="Table Grid1"/>
    <w:basedOn w:val="TableNormal"/>
    <w:uiPriority w:val="59"/>
    <w:rsid w:val="008E30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F1C"/>
    <w:pPr>
      <w:ind w:left="720"/>
      <w:contextualSpacing/>
    </w:pPr>
  </w:style>
  <w:style w:type="character" w:styleId="CommentReference">
    <w:name w:val="annotation reference"/>
    <w:basedOn w:val="DefaultParagraphFont"/>
    <w:uiPriority w:val="99"/>
    <w:semiHidden/>
    <w:unhideWhenUsed/>
    <w:rsid w:val="003C697A"/>
    <w:rPr>
      <w:sz w:val="16"/>
      <w:szCs w:val="16"/>
    </w:rPr>
  </w:style>
  <w:style w:type="paragraph" w:styleId="CommentText">
    <w:name w:val="annotation text"/>
    <w:basedOn w:val="Normal"/>
    <w:link w:val="CommentTextChar"/>
    <w:uiPriority w:val="99"/>
    <w:unhideWhenUsed/>
    <w:rsid w:val="003C697A"/>
    <w:pPr>
      <w:spacing w:line="240" w:lineRule="auto"/>
    </w:pPr>
    <w:rPr>
      <w:szCs w:val="20"/>
    </w:rPr>
  </w:style>
  <w:style w:type="character" w:customStyle="1" w:styleId="CommentTextChar">
    <w:name w:val="Comment Text Char"/>
    <w:basedOn w:val="DefaultParagraphFont"/>
    <w:link w:val="CommentText"/>
    <w:uiPriority w:val="99"/>
    <w:rsid w:val="003C697A"/>
    <w:rPr>
      <w:rFonts w:eastAsiaTheme="minorEastAsia"/>
      <w:color w:val="262626" w:themeColor="text1" w:themeTint="D9"/>
      <w:sz w:val="20"/>
      <w:szCs w:val="20"/>
      <w:lang w:val="en-US"/>
    </w:rPr>
  </w:style>
  <w:style w:type="paragraph" w:styleId="CommentSubject">
    <w:name w:val="annotation subject"/>
    <w:basedOn w:val="CommentText"/>
    <w:next w:val="CommentText"/>
    <w:link w:val="CommentSubjectChar"/>
    <w:uiPriority w:val="99"/>
    <w:semiHidden/>
    <w:unhideWhenUsed/>
    <w:rsid w:val="003C697A"/>
    <w:rPr>
      <w:b/>
      <w:bCs/>
    </w:rPr>
  </w:style>
  <w:style w:type="character" w:customStyle="1" w:styleId="CommentSubjectChar">
    <w:name w:val="Comment Subject Char"/>
    <w:basedOn w:val="CommentTextChar"/>
    <w:link w:val="CommentSubject"/>
    <w:uiPriority w:val="99"/>
    <w:semiHidden/>
    <w:rsid w:val="003C697A"/>
    <w:rPr>
      <w:rFonts w:eastAsiaTheme="minorEastAsia"/>
      <w:b/>
      <w:bCs/>
      <w:color w:val="262626" w:themeColor="text1" w:themeTint="D9"/>
      <w:sz w:val="20"/>
      <w:szCs w:val="20"/>
      <w:lang w:val="en-US"/>
    </w:rPr>
  </w:style>
  <w:style w:type="paragraph" w:styleId="Revision">
    <w:name w:val="Revision"/>
    <w:hidden/>
    <w:uiPriority w:val="99"/>
    <w:semiHidden/>
    <w:rsid w:val="00DB6483"/>
    <w:pPr>
      <w:spacing w:after="0" w:line="240" w:lineRule="auto"/>
    </w:pPr>
    <w:rPr>
      <w:rFonts w:eastAsiaTheme="minorEastAsia"/>
      <w:color w:val="262626" w:themeColor="text1" w:themeTint="D9"/>
      <w:sz w:val="20"/>
      <w:szCs w:val="24"/>
      <w:lang w:val="en-US"/>
    </w:rPr>
  </w:style>
  <w:style w:type="character" w:styleId="Hyperlink">
    <w:name w:val="Hyperlink"/>
    <w:basedOn w:val="DefaultParagraphFont"/>
    <w:uiPriority w:val="99"/>
    <w:unhideWhenUsed/>
    <w:rsid w:val="006B233C"/>
    <w:rPr>
      <w:color w:val="F32836" w:themeColor="hyperlink"/>
      <w:u w:val="single"/>
    </w:rPr>
  </w:style>
  <w:style w:type="paragraph" w:customStyle="1" w:styleId="chaphead">
    <w:name w:val="chaphead"/>
    <w:basedOn w:val="Normal"/>
    <w:rsid w:val="004149ED"/>
    <w:pPr>
      <w:spacing w:before="600" w:line="200" w:lineRule="exact"/>
      <w:jc w:val="center"/>
    </w:pPr>
    <w:rPr>
      <w:rFonts w:ascii="Helvetica-Light" w:eastAsia="Times New Roman" w:hAnsi="Helvetica-Light" w:cs="Times New Roman"/>
      <w:b/>
      <w:color w:val="000080"/>
      <w:sz w:val="28"/>
      <w:szCs w:val="20"/>
      <w:lang w:val="en-GB"/>
    </w:rPr>
  </w:style>
  <w:style w:type="paragraph" w:customStyle="1" w:styleId="head1">
    <w:name w:val="head1"/>
    <w:basedOn w:val="Normal"/>
    <w:rsid w:val="004149ED"/>
    <w:pPr>
      <w:keepNext/>
      <w:keepLines/>
      <w:tabs>
        <w:tab w:val="center" w:pos="4153"/>
        <w:tab w:val="right" w:pos="8306"/>
      </w:tabs>
      <w:suppressAutoHyphens/>
      <w:spacing w:before="240" w:line="320" w:lineRule="exact"/>
      <w:jc w:val="left"/>
    </w:pPr>
    <w:rPr>
      <w:rFonts w:ascii="Rockwell" w:eastAsia="Times New Roman" w:hAnsi="Rockwell" w:cs="Times New Roman"/>
      <w:color w:val="auto"/>
      <w:spacing w:val="-10"/>
      <w:sz w:val="28"/>
      <w:szCs w:val="20"/>
      <w:lang w:val="en-GB"/>
    </w:rPr>
  </w:style>
  <w:style w:type="paragraph" w:styleId="FootnoteText">
    <w:name w:val="footnote text"/>
    <w:basedOn w:val="Normal"/>
    <w:link w:val="FootnoteTextChar"/>
    <w:rsid w:val="004149ED"/>
    <w:pPr>
      <w:widowControl w:val="0"/>
      <w:spacing w:before="120" w:line="240" w:lineRule="auto"/>
    </w:pPr>
    <w:rPr>
      <w:rFonts w:ascii="Times New Roman" w:eastAsia="Times New Roman" w:hAnsi="Times New Roman" w:cs="Times New Roman"/>
      <w:color w:val="auto"/>
      <w:szCs w:val="20"/>
      <w:lang w:val="en-GB"/>
    </w:rPr>
  </w:style>
  <w:style w:type="character" w:customStyle="1" w:styleId="FootnoteTextChar">
    <w:name w:val="Footnote Text Char"/>
    <w:basedOn w:val="DefaultParagraphFont"/>
    <w:link w:val="FootnoteText"/>
    <w:rsid w:val="004149ED"/>
    <w:rPr>
      <w:rFonts w:ascii="Times New Roman" w:eastAsia="Times New Roman" w:hAnsi="Times New Roman" w:cs="Times New Roman"/>
      <w:sz w:val="20"/>
      <w:szCs w:val="20"/>
      <w:lang w:val="en-GB"/>
    </w:rPr>
  </w:style>
  <w:style w:type="character" w:styleId="FootnoteReference">
    <w:name w:val="footnote reference"/>
    <w:rsid w:val="004149ED"/>
    <w:rPr>
      <w:vertAlign w:val="superscript"/>
    </w:rPr>
  </w:style>
  <w:style w:type="paragraph" w:customStyle="1" w:styleId="000">
    <w:name w:val="0.00"/>
    <w:basedOn w:val="Normal"/>
    <w:rsid w:val="004149ED"/>
    <w:pPr>
      <w:tabs>
        <w:tab w:val="left" w:pos="510"/>
      </w:tabs>
      <w:spacing w:before="80" w:line="200" w:lineRule="exact"/>
      <w:ind w:left="510" w:hanging="510"/>
    </w:pPr>
    <w:rPr>
      <w:rFonts w:ascii="Helvetica-Light" w:eastAsia="Times New Roman" w:hAnsi="Helvetica-Light" w:cs="Times New Roman"/>
      <w:color w:val="000000"/>
      <w:sz w:val="18"/>
      <w:szCs w:val="20"/>
      <w:lang w:val="en-GB"/>
    </w:rPr>
  </w:style>
  <w:style w:type="paragraph" w:customStyle="1" w:styleId="a-000">
    <w:name w:val="(a)-0.00"/>
    <w:basedOn w:val="Normal"/>
    <w:link w:val="a-000Char"/>
    <w:rsid w:val="004A0137"/>
    <w:pPr>
      <w:tabs>
        <w:tab w:val="left" w:pos="510"/>
        <w:tab w:val="left" w:pos="851"/>
      </w:tabs>
      <w:spacing w:before="40" w:line="200" w:lineRule="exact"/>
      <w:ind w:left="851" w:hanging="851"/>
    </w:pPr>
    <w:rPr>
      <w:rFonts w:ascii="Helvetica-Light" w:eastAsia="Times New Roman" w:hAnsi="Helvetica-Light" w:cs="Times New Roman"/>
      <w:color w:val="000000"/>
      <w:sz w:val="18"/>
      <w:szCs w:val="20"/>
      <w:lang w:val="en-GB"/>
    </w:rPr>
  </w:style>
  <w:style w:type="character" w:customStyle="1" w:styleId="a-000Char">
    <w:name w:val="(a)-0.00 Char"/>
    <w:link w:val="a-000"/>
    <w:rsid w:val="004A0137"/>
    <w:rPr>
      <w:rFonts w:ascii="Helvetica-Light" w:eastAsia="Times New Roman" w:hAnsi="Helvetica-Light" w:cs="Times New Roman"/>
      <w:color w:val="000000"/>
      <w:sz w:val="18"/>
      <w:szCs w:val="20"/>
      <w:lang w:val="en-GB"/>
    </w:rPr>
  </w:style>
  <w:style w:type="paragraph" w:customStyle="1" w:styleId="parafullout">
    <w:name w:val="parafullout"/>
    <w:basedOn w:val="Normal"/>
    <w:rsid w:val="0067137B"/>
    <w:pPr>
      <w:spacing w:before="60" w:line="200" w:lineRule="exact"/>
    </w:pPr>
    <w:rPr>
      <w:rFonts w:ascii="Helvetica-Light" w:eastAsia="Times New Roman" w:hAnsi="Helvetica-Light" w:cs="Times New Roman"/>
      <w:color w:val="auto"/>
      <w:sz w:val="18"/>
      <w:szCs w:val="20"/>
      <w:lang w:val="en-GB"/>
    </w:rPr>
  </w:style>
  <w:style w:type="paragraph" w:styleId="Title">
    <w:name w:val="Title"/>
    <w:basedOn w:val="Normal"/>
    <w:link w:val="TitleChar"/>
    <w:qFormat/>
    <w:rsid w:val="0067137B"/>
    <w:pPr>
      <w:pBdr>
        <w:bottom w:val="single" w:sz="6" w:space="3" w:color="auto"/>
      </w:pBdr>
      <w:spacing w:line="400" w:lineRule="exact"/>
      <w:jc w:val="center"/>
    </w:pPr>
    <w:rPr>
      <w:rFonts w:ascii="Rockwell" w:eastAsia="Times New Roman" w:hAnsi="Rockwell" w:cs="Times New Roman"/>
      <w:color w:val="auto"/>
      <w:sz w:val="40"/>
      <w:szCs w:val="20"/>
      <w:lang w:val="en-GB"/>
    </w:rPr>
  </w:style>
  <w:style w:type="character" w:customStyle="1" w:styleId="TitleChar">
    <w:name w:val="Title Char"/>
    <w:basedOn w:val="DefaultParagraphFont"/>
    <w:link w:val="Title"/>
    <w:rsid w:val="0067137B"/>
    <w:rPr>
      <w:rFonts w:ascii="Rockwell" w:eastAsia="Times New Roman" w:hAnsi="Rockwell" w:cs="Times New Roman"/>
      <w:sz w:val="40"/>
      <w:szCs w:val="20"/>
      <w:lang w:val="en-GB"/>
    </w:rPr>
  </w:style>
  <w:style w:type="paragraph" w:customStyle="1" w:styleId="content-11">
    <w:name w:val="content-1.1"/>
    <w:basedOn w:val="Normal"/>
    <w:rsid w:val="001A00F8"/>
    <w:pPr>
      <w:tabs>
        <w:tab w:val="left" w:pos="567"/>
        <w:tab w:val="right" w:leader="dot" w:pos="6521"/>
      </w:tabs>
      <w:suppressAutoHyphens/>
      <w:spacing w:before="60" w:line="200" w:lineRule="exact"/>
      <w:ind w:left="567" w:hanging="567"/>
      <w:jc w:val="left"/>
    </w:pPr>
    <w:rPr>
      <w:rFonts w:ascii="Helvetica-Light" w:eastAsia="Times New Roman" w:hAnsi="Helvetica-Light" w:cs="Times New Roman"/>
      <w:color w:val="auto"/>
      <w:sz w:val="18"/>
      <w:szCs w:val="20"/>
      <w:lang w:val="en-GB"/>
    </w:rPr>
  </w:style>
  <w:style w:type="paragraph" w:customStyle="1" w:styleId="head2">
    <w:name w:val="head2"/>
    <w:basedOn w:val="Normal"/>
    <w:rsid w:val="007A18E7"/>
    <w:pPr>
      <w:keepNext/>
      <w:keepLines/>
      <w:suppressAutoHyphens/>
      <w:spacing w:before="160" w:line="220" w:lineRule="exact"/>
      <w:jc w:val="left"/>
    </w:pPr>
    <w:rPr>
      <w:rFonts w:ascii="Rockwell" w:eastAsia="Times New Roman" w:hAnsi="Rockwell" w:cs="Times New Roman"/>
      <w:color w:val="000000"/>
      <w:szCs w:val="20"/>
      <w:lang w:val="en-GB"/>
    </w:rPr>
  </w:style>
  <w:style w:type="paragraph" w:customStyle="1" w:styleId="i-000">
    <w:name w:val="(i)-0.00"/>
    <w:basedOn w:val="Normal"/>
    <w:rsid w:val="007A18E7"/>
    <w:pPr>
      <w:tabs>
        <w:tab w:val="right" w:pos="1191"/>
        <w:tab w:val="left" w:pos="1361"/>
      </w:tabs>
      <w:spacing w:before="40" w:line="200" w:lineRule="exact"/>
      <w:ind w:left="1361" w:hanging="1361"/>
    </w:pPr>
    <w:rPr>
      <w:rFonts w:ascii="Helvetica-Light" w:eastAsia="Times New Roman" w:hAnsi="Helvetica-Light" w:cs="Times New Roman"/>
      <w:color w:val="auto"/>
      <w:sz w:val="18"/>
      <w:szCs w:val="20"/>
      <w:lang w:val="en-GB"/>
    </w:rPr>
  </w:style>
  <w:style w:type="paragraph" w:customStyle="1" w:styleId="tabletext">
    <w:name w:val="tabletext"/>
    <w:basedOn w:val="Normal"/>
    <w:rsid w:val="00C2168C"/>
    <w:pPr>
      <w:spacing w:line="180" w:lineRule="exact"/>
      <w:jc w:val="left"/>
    </w:pPr>
    <w:rPr>
      <w:rFonts w:ascii="Helvetica-Light" w:eastAsia="Times New Roman" w:hAnsi="Helvetica-Light" w:cs="Times New Roman"/>
      <w:color w:val="000000"/>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236">
      <w:bodyDiv w:val="1"/>
      <w:marLeft w:val="0"/>
      <w:marRight w:val="0"/>
      <w:marTop w:val="0"/>
      <w:marBottom w:val="0"/>
      <w:divBdr>
        <w:top w:val="none" w:sz="0" w:space="0" w:color="auto"/>
        <w:left w:val="none" w:sz="0" w:space="0" w:color="auto"/>
        <w:bottom w:val="none" w:sz="0" w:space="0" w:color="auto"/>
        <w:right w:val="none" w:sz="0" w:space="0" w:color="auto"/>
      </w:divBdr>
    </w:div>
    <w:div w:id="71894590">
      <w:bodyDiv w:val="1"/>
      <w:marLeft w:val="0"/>
      <w:marRight w:val="0"/>
      <w:marTop w:val="0"/>
      <w:marBottom w:val="0"/>
      <w:divBdr>
        <w:top w:val="none" w:sz="0" w:space="0" w:color="auto"/>
        <w:left w:val="none" w:sz="0" w:space="0" w:color="auto"/>
        <w:bottom w:val="none" w:sz="0" w:space="0" w:color="auto"/>
        <w:right w:val="none" w:sz="0" w:space="0" w:color="auto"/>
      </w:divBdr>
    </w:div>
    <w:div w:id="531694694">
      <w:bodyDiv w:val="1"/>
      <w:marLeft w:val="0"/>
      <w:marRight w:val="0"/>
      <w:marTop w:val="0"/>
      <w:marBottom w:val="0"/>
      <w:divBdr>
        <w:top w:val="none" w:sz="0" w:space="0" w:color="auto"/>
        <w:left w:val="none" w:sz="0" w:space="0" w:color="auto"/>
        <w:bottom w:val="none" w:sz="0" w:space="0" w:color="auto"/>
        <w:right w:val="none" w:sz="0" w:space="0" w:color="auto"/>
      </w:divBdr>
    </w:div>
    <w:div w:id="576406836">
      <w:bodyDiv w:val="1"/>
      <w:marLeft w:val="0"/>
      <w:marRight w:val="0"/>
      <w:marTop w:val="0"/>
      <w:marBottom w:val="0"/>
      <w:divBdr>
        <w:top w:val="none" w:sz="0" w:space="0" w:color="auto"/>
        <w:left w:val="none" w:sz="0" w:space="0" w:color="auto"/>
        <w:bottom w:val="none" w:sz="0" w:space="0" w:color="auto"/>
        <w:right w:val="none" w:sz="0" w:space="0" w:color="auto"/>
      </w:divBdr>
    </w:div>
    <w:div w:id="990789556">
      <w:bodyDiv w:val="1"/>
      <w:marLeft w:val="0"/>
      <w:marRight w:val="0"/>
      <w:marTop w:val="0"/>
      <w:marBottom w:val="0"/>
      <w:divBdr>
        <w:top w:val="none" w:sz="0" w:space="0" w:color="auto"/>
        <w:left w:val="none" w:sz="0" w:space="0" w:color="auto"/>
        <w:bottom w:val="none" w:sz="0" w:space="0" w:color="auto"/>
        <w:right w:val="none" w:sz="0" w:space="0" w:color="auto"/>
      </w:divBdr>
    </w:div>
    <w:div w:id="1136487796">
      <w:bodyDiv w:val="1"/>
      <w:marLeft w:val="0"/>
      <w:marRight w:val="0"/>
      <w:marTop w:val="0"/>
      <w:marBottom w:val="0"/>
      <w:divBdr>
        <w:top w:val="none" w:sz="0" w:space="0" w:color="auto"/>
        <w:left w:val="none" w:sz="0" w:space="0" w:color="auto"/>
        <w:bottom w:val="none" w:sz="0" w:space="0" w:color="auto"/>
        <w:right w:val="none" w:sz="0" w:space="0" w:color="auto"/>
      </w:divBdr>
    </w:div>
    <w:div w:id="1194616609">
      <w:bodyDiv w:val="1"/>
      <w:marLeft w:val="0"/>
      <w:marRight w:val="0"/>
      <w:marTop w:val="0"/>
      <w:marBottom w:val="0"/>
      <w:divBdr>
        <w:top w:val="none" w:sz="0" w:space="0" w:color="auto"/>
        <w:left w:val="none" w:sz="0" w:space="0" w:color="auto"/>
        <w:bottom w:val="none" w:sz="0" w:space="0" w:color="auto"/>
        <w:right w:val="none" w:sz="0" w:space="0" w:color="auto"/>
      </w:divBdr>
      <w:divsChild>
        <w:div w:id="844437923">
          <w:marLeft w:val="600"/>
          <w:marRight w:val="0"/>
          <w:marTop w:val="0"/>
          <w:marBottom w:val="0"/>
          <w:divBdr>
            <w:top w:val="none" w:sz="0" w:space="0" w:color="auto"/>
            <w:left w:val="none" w:sz="0" w:space="0" w:color="auto"/>
            <w:bottom w:val="none" w:sz="0" w:space="0" w:color="auto"/>
            <w:right w:val="none" w:sz="0" w:space="0" w:color="auto"/>
          </w:divBdr>
        </w:div>
        <w:div w:id="65106190">
          <w:marLeft w:val="600"/>
          <w:marRight w:val="0"/>
          <w:marTop w:val="0"/>
          <w:marBottom w:val="0"/>
          <w:divBdr>
            <w:top w:val="none" w:sz="0" w:space="0" w:color="auto"/>
            <w:left w:val="none" w:sz="0" w:space="0" w:color="auto"/>
            <w:bottom w:val="none" w:sz="0" w:space="0" w:color="auto"/>
            <w:right w:val="none" w:sz="0" w:space="0" w:color="auto"/>
          </w:divBdr>
        </w:div>
        <w:div w:id="1513956923">
          <w:marLeft w:val="600"/>
          <w:marRight w:val="0"/>
          <w:marTop w:val="0"/>
          <w:marBottom w:val="0"/>
          <w:divBdr>
            <w:top w:val="none" w:sz="0" w:space="0" w:color="auto"/>
            <w:left w:val="none" w:sz="0" w:space="0" w:color="auto"/>
            <w:bottom w:val="none" w:sz="0" w:space="0" w:color="auto"/>
            <w:right w:val="none" w:sz="0" w:space="0" w:color="auto"/>
          </w:divBdr>
        </w:div>
        <w:div w:id="989556161">
          <w:marLeft w:val="600"/>
          <w:marRight w:val="0"/>
          <w:marTop w:val="0"/>
          <w:marBottom w:val="0"/>
          <w:divBdr>
            <w:top w:val="none" w:sz="0" w:space="0" w:color="auto"/>
            <w:left w:val="none" w:sz="0" w:space="0" w:color="auto"/>
            <w:bottom w:val="none" w:sz="0" w:space="0" w:color="auto"/>
            <w:right w:val="none" w:sz="0" w:space="0" w:color="auto"/>
          </w:divBdr>
        </w:div>
        <w:div w:id="904607303">
          <w:marLeft w:val="1200"/>
          <w:marRight w:val="0"/>
          <w:marTop w:val="0"/>
          <w:marBottom w:val="0"/>
          <w:divBdr>
            <w:top w:val="none" w:sz="0" w:space="0" w:color="auto"/>
            <w:left w:val="none" w:sz="0" w:space="0" w:color="auto"/>
            <w:bottom w:val="none" w:sz="0" w:space="0" w:color="auto"/>
            <w:right w:val="none" w:sz="0" w:space="0" w:color="auto"/>
          </w:divBdr>
        </w:div>
        <w:div w:id="1783959947">
          <w:marLeft w:val="1200"/>
          <w:marRight w:val="0"/>
          <w:marTop w:val="0"/>
          <w:marBottom w:val="0"/>
          <w:divBdr>
            <w:top w:val="none" w:sz="0" w:space="0" w:color="auto"/>
            <w:left w:val="none" w:sz="0" w:space="0" w:color="auto"/>
            <w:bottom w:val="none" w:sz="0" w:space="0" w:color="auto"/>
            <w:right w:val="none" w:sz="0" w:space="0" w:color="auto"/>
          </w:divBdr>
        </w:div>
        <w:div w:id="76027091">
          <w:marLeft w:val="1200"/>
          <w:marRight w:val="0"/>
          <w:marTop w:val="0"/>
          <w:marBottom w:val="0"/>
          <w:divBdr>
            <w:top w:val="none" w:sz="0" w:space="0" w:color="auto"/>
            <w:left w:val="none" w:sz="0" w:space="0" w:color="auto"/>
            <w:bottom w:val="none" w:sz="0" w:space="0" w:color="auto"/>
            <w:right w:val="none" w:sz="0" w:space="0" w:color="auto"/>
          </w:divBdr>
        </w:div>
        <w:div w:id="1639720227">
          <w:marLeft w:val="600"/>
          <w:marRight w:val="0"/>
          <w:marTop w:val="0"/>
          <w:marBottom w:val="0"/>
          <w:divBdr>
            <w:top w:val="none" w:sz="0" w:space="0" w:color="auto"/>
            <w:left w:val="none" w:sz="0" w:space="0" w:color="auto"/>
            <w:bottom w:val="none" w:sz="0" w:space="0" w:color="auto"/>
            <w:right w:val="none" w:sz="0" w:space="0" w:color="auto"/>
          </w:divBdr>
        </w:div>
        <w:div w:id="1182941113">
          <w:marLeft w:val="600"/>
          <w:marRight w:val="0"/>
          <w:marTop w:val="0"/>
          <w:marBottom w:val="0"/>
          <w:divBdr>
            <w:top w:val="none" w:sz="0" w:space="0" w:color="auto"/>
            <w:left w:val="none" w:sz="0" w:space="0" w:color="auto"/>
            <w:bottom w:val="none" w:sz="0" w:space="0" w:color="auto"/>
            <w:right w:val="none" w:sz="0" w:space="0" w:color="auto"/>
          </w:divBdr>
        </w:div>
        <w:div w:id="700740434">
          <w:marLeft w:val="600"/>
          <w:marRight w:val="0"/>
          <w:marTop w:val="0"/>
          <w:marBottom w:val="0"/>
          <w:divBdr>
            <w:top w:val="none" w:sz="0" w:space="0" w:color="auto"/>
            <w:left w:val="none" w:sz="0" w:space="0" w:color="auto"/>
            <w:bottom w:val="none" w:sz="0" w:space="0" w:color="auto"/>
            <w:right w:val="none" w:sz="0" w:space="0" w:color="auto"/>
          </w:divBdr>
        </w:div>
        <w:div w:id="1007632683">
          <w:marLeft w:val="600"/>
          <w:marRight w:val="0"/>
          <w:marTop w:val="0"/>
          <w:marBottom w:val="0"/>
          <w:divBdr>
            <w:top w:val="none" w:sz="0" w:space="0" w:color="auto"/>
            <w:left w:val="none" w:sz="0" w:space="0" w:color="auto"/>
            <w:bottom w:val="none" w:sz="0" w:space="0" w:color="auto"/>
            <w:right w:val="none" w:sz="0" w:space="0" w:color="auto"/>
          </w:divBdr>
        </w:div>
        <w:div w:id="670520843">
          <w:marLeft w:val="600"/>
          <w:marRight w:val="0"/>
          <w:marTop w:val="0"/>
          <w:marBottom w:val="0"/>
          <w:divBdr>
            <w:top w:val="none" w:sz="0" w:space="0" w:color="auto"/>
            <w:left w:val="none" w:sz="0" w:space="0" w:color="auto"/>
            <w:bottom w:val="none" w:sz="0" w:space="0" w:color="auto"/>
            <w:right w:val="none" w:sz="0" w:space="0" w:color="auto"/>
          </w:divBdr>
        </w:div>
        <w:div w:id="2096781717">
          <w:marLeft w:val="600"/>
          <w:marRight w:val="0"/>
          <w:marTop w:val="0"/>
          <w:marBottom w:val="0"/>
          <w:divBdr>
            <w:top w:val="none" w:sz="0" w:space="0" w:color="auto"/>
            <w:left w:val="none" w:sz="0" w:space="0" w:color="auto"/>
            <w:bottom w:val="none" w:sz="0" w:space="0" w:color="auto"/>
            <w:right w:val="none" w:sz="0" w:space="0" w:color="auto"/>
          </w:divBdr>
        </w:div>
      </w:divsChild>
    </w:div>
    <w:div w:id="1575041864">
      <w:bodyDiv w:val="1"/>
      <w:marLeft w:val="0"/>
      <w:marRight w:val="0"/>
      <w:marTop w:val="0"/>
      <w:marBottom w:val="0"/>
      <w:divBdr>
        <w:top w:val="none" w:sz="0" w:space="0" w:color="auto"/>
        <w:left w:val="none" w:sz="0" w:space="0" w:color="auto"/>
        <w:bottom w:val="none" w:sz="0" w:space="0" w:color="auto"/>
        <w:right w:val="none" w:sz="0" w:space="0" w:color="auto"/>
      </w:divBdr>
    </w:div>
    <w:div w:id="1651788044">
      <w:bodyDiv w:val="1"/>
      <w:marLeft w:val="0"/>
      <w:marRight w:val="0"/>
      <w:marTop w:val="0"/>
      <w:marBottom w:val="0"/>
      <w:divBdr>
        <w:top w:val="none" w:sz="0" w:space="0" w:color="auto"/>
        <w:left w:val="none" w:sz="0" w:space="0" w:color="auto"/>
        <w:bottom w:val="none" w:sz="0" w:space="0" w:color="auto"/>
        <w:right w:val="none" w:sz="0" w:space="0" w:color="auto"/>
      </w:divBdr>
    </w:div>
    <w:div w:id="2008288957">
      <w:bodyDiv w:val="1"/>
      <w:marLeft w:val="0"/>
      <w:marRight w:val="0"/>
      <w:marTop w:val="0"/>
      <w:marBottom w:val="0"/>
      <w:divBdr>
        <w:top w:val="none" w:sz="0" w:space="0" w:color="auto"/>
        <w:left w:val="none" w:sz="0" w:space="0" w:color="auto"/>
        <w:bottom w:val="none" w:sz="0" w:space="0" w:color="auto"/>
        <w:right w:val="none" w:sz="0" w:space="0" w:color="auto"/>
      </w:divBdr>
    </w:div>
    <w:div w:id="20987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ab\AppData\Local\Temp\Temp2_jsetemplates.zip\JSE%20Memorandum_24.03.14.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9F9F9F"/>
      </a:dk2>
      <a:lt2>
        <a:srgbClr val="EEECE1"/>
      </a:lt2>
      <a:accent1>
        <a:srgbClr val="94D600"/>
      </a:accent1>
      <a:accent2>
        <a:srgbClr val="F32836"/>
      </a:accent2>
      <a:accent3>
        <a:srgbClr val="009FE3"/>
      </a:accent3>
      <a:accent4>
        <a:srgbClr val="FFCE00"/>
      </a:accent4>
      <a:accent5>
        <a:srgbClr val="00A888"/>
      </a:accent5>
      <a:accent6>
        <a:srgbClr val="9F9F9F"/>
      </a:accent6>
      <a:hlink>
        <a:srgbClr val="F32836"/>
      </a:hlink>
      <a:folHlink>
        <a:srgbClr val="94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4.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43A8D-6FEC-402F-A7EF-BC21EEBA8921}"/>
</file>

<file path=customXml/itemProps2.xml><?xml version="1.0" encoding="utf-8"?>
<ds:datastoreItem xmlns:ds="http://schemas.openxmlformats.org/officeDocument/2006/customXml" ds:itemID="{485E0229-BD71-4FA4-9CB3-85AFB7B59C15}"/>
</file>

<file path=customXml/itemProps3.xml><?xml version="1.0" encoding="utf-8"?>
<ds:datastoreItem xmlns:ds="http://schemas.openxmlformats.org/officeDocument/2006/customXml" ds:itemID="{97BD70E5-A18A-4C06-AFF4-1B995BBD2401}"/>
</file>

<file path=customXml/itemProps4.xml><?xml version="1.0" encoding="utf-8"?>
<ds:datastoreItem xmlns:ds="http://schemas.openxmlformats.org/officeDocument/2006/customXml" ds:itemID="{BA997E9F-37A8-4E39-AE7C-C704F4205FF7}"/>
</file>

<file path=docProps/app.xml><?xml version="1.0" encoding="utf-8"?>
<Properties xmlns="http://schemas.openxmlformats.org/officeDocument/2006/extended-properties" xmlns:vt="http://schemas.openxmlformats.org/officeDocument/2006/docPropsVTypes">
  <Template>JSE Memorandum_24.03.14</Template>
  <TotalTime>5</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JSE Limited</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Jseuser</dc:creator>
  <cp:lastModifiedBy>Alwyn Fouchee</cp:lastModifiedBy>
  <cp:revision>8</cp:revision>
  <cp:lastPrinted>2017-07-24T13:12:00Z</cp:lastPrinted>
  <dcterms:created xsi:type="dcterms:W3CDTF">2018-03-13T13:53:00Z</dcterms:created>
  <dcterms:modified xsi:type="dcterms:W3CDTF">2018-04-26T10:22:00Z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ies>
</file>