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5D6C7" w14:textId="77777777" w:rsidR="00A93868" w:rsidRPr="00FB4E3C" w:rsidRDefault="00A93868" w:rsidP="00A93868">
      <w:pPr>
        <w:jc w:val="center"/>
        <w:rPr>
          <w:rFonts w:ascii="Verdana" w:hAnsi="Verdana"/>
          <w:b/>
          <w:sz w:val="18"/>
          <w:szCs w:val="18"/>
        </w:rPr>
      </w:pPr>
      <w:r w:rsidRPr="00FB4E3C">
        <w:rPr>
          <w:rFonts w:ascii="Verdana" w:hAnsi="Verdana" w:cstheme="minorHAnsi"/>
          <w:b/>
          <w:bCs/>
          <w:sz w:val="18"/>
          <w:szCs w:val="18"/>
        </w:rPr>
        <w:t>Form K</w:t>
      </w:r>
      <w:r w:rsidRPr="00FB4E3C">
        <w:rPr>
          <w:rFonts w:ascii="Verdana" w:hAnsi="Verdana"/>
          <w:b/>
          <w:sz w:val="18"/>
          <w:szCs w:val="18"/>
        </w:rPr>
        <w:t xml:space="preserve"> of Schedule 2</w:t>
      </w:r>
    </w:p>
    <w:p w14:paraId="35ED6D0E" w14:textId="77777777" w:rsidR="00A93868" w:rsidRPr="00FB4E3C" w:rsidRDefault="00A93868" w:rsidP="00A93868">
      <w:pPr>
        <w:jc w:val="center"/>
        <w:rPr>
          <w:rFonts w:ascii="Verdana" w:hAnsi="Verdana" w:cstheme="minorHAnsi"/>
          <w:b/>
          <w:bCs/>
          <w:sz w:val="18"/>
          <w:szCs w:val="18"/>
        </w:rPr>
      </w:pPr>
      <w:r w:rsidRPr="00FB4E3C">
        <w:rPr>
          <w:rFonts w:ascii="Verdana" w:hAnsi="Verdana" w:cstheme="minorHAnsi"/>
          <w:b/>
          <w:bCs/>
          <w:sz w:val="18"/>
          <w:szCs w:val="18"/>
        </w:rPr>
        <w:t>AMC Fact Sheet</w:t>
      </w:r>
    </w:p>
    <w:p w14:paraId="707D86FA" w14:textId="77777777" w:rsidR="00A93868" w:rsidRPr="00FB4E3C" w:rsidRDefault="00A93868" w:rsidP="00A93868">
      <w:pPr>
        <w:jc w:val="both"/>
        <w:rPr>
          <w:rFonts w:ascii="Verdana" w:hAnsi="Verdana" w:cstheme="minorHAnsi"/>
          <w:sz w:val="18"/>
          <w:szCs w:val="18"/>
        </w:rPr>
      </w:pPr>
    </w:p>
    <w:p w14:paraId="1AB01D4F" w14:textId="77777777" w:rsidR="00A93868" w:rsidRPr="00FB4E3C" w:rsidRDefault="00A93868" w:rsidP="00A93868">
      <w:pPr>
        <w:jc w:val="both"/>
        <w:rPr>
          <w:rFonts w:ascii="Verdana" w:eastAsia="Times New Roman" w:hAnsi="Verdana"/>
          <w:sz w:val="18"/>
          <w:szCs w:val="18"/>
        </w:rPr>
      </w:pPr>
      <w:r w:rsidRPr="00FB4E3C">
        <w:rPr>
          <w:rFonts w:ascii="Verdana" w:eastAsia="Times New Roman" w:hAnsi="Verdana"/>
          <w:sz w:val="18"/>
          <w:szCs w:val="18"/>
        </w:rPr>
        <w:t>The fact sheet must, as a minimum, include the following disclosures:</w:t>
      </w:r>
    </w:p>
    <w:p w14:paraId="7161162B" w14:textId="77777777" w:rsidR="00A93868" w:rsidRPr="00EA3E3C" w:rsidRDefault="00A93868" w:rsidP="00A93868">
      <w:pPr>
        <w:pStyle w:val="ListParagraph"/>
        <w:numPr>
          <w:ilvl w:val="0"/>
          <w:numId w:val="1"/>
        </w:numPr>
        <w:jc w:val="both"/>
        <w:rPr>
          <w:rFonts w:ascii="Verdana" w:eastAsia="Times New Roman" w:hAnsi="Verdana"/>
          <w:sz w:val="18"/>
          <w:szCs w:val="18"/>
        </w:rPr>
      </w:pPr>
      <w:r w:rsidRPr="00EA3E3C">
        <w:rPr>
          <w:rFonts w:ascii="Verdana" w:eastAsia="Times New Roman" w:hAnsi="Verdana"/>
          <w:sz w:val="18"/>
          <w:szCs w:val="18"/>
        </w:rPr>
        <w:t xml:space="preserve">The issuer must state in the factsheet that the placing document or pricing supplement includes the detail information on the AMC and investors must ensure that the factsheet is read in conjunction with the placing document or pricing </w:t>
      </w:r>
      <w:proofErr w:type="gramStart"/>
      <w:r w:rsidRPr="00EA3E3C">
        <w:rPr>
          <w:rFonts w:ascii="Verdana" w:eastAsia="Times New Roman" w:hAnsi="Verdana"/>
          <w:sz w:val="18"/>
          <w:szCs w:val="18"/>
        </w:rPr>
        <w:t>supplement;</w:t>
      </w:r>
      <w:proofErr w:type="gramEnd"/>
    </w:p>
    <w:p w14:paraId="349C71D9" w14:textId="77777777" w:rsidR="00A93868" w:rsidRPr="00FB4E3C" w:rsidRDefault="00A93868" w:rsidP="00A93868">
      <w:pPr>
        <w:pStyle w:val="ListParagraph"/>
        <w:numPr>
          <w:ilvl w:val="0"/>
          <w:numId w:val="1"/>
        </w:numPr>
        <w:jc w:val="both"/>
        <w:rPr>
          <w:rFonts w:ascii="Verdana" w:eastAsia="Times New Roman" w:hAnsi="Verdana"/>
          <w:sz w:val="18"/>
          <w:szCs w:val="18"/>
        </w:rPr>
      </w:pPr>
      <w:r w:rsidRPr="00FB4E3C">
        <w:rPr>
          <w:rFonts w:ascii="Verdana" w:eastAsia="Times New Roman" w:hAnsi="Verdana"/>
          <w:sz w:val="18"/>
          <w:szCs w:val="18"/>
        </w:rPr>
        <w:t xml:space="preserve">The total number of AMC notes in </w:t>
      </w:r>
      <w:proofErr w:type="gramStart"/>
      <w:r w:rsidRPr="00FB4E3C">
        <w:rPr>
          <w:rFonts w:ascii="Verdana" w:eastAsia="Times New Roman" w:hAnsi="Verdana"/>
          <w:sz w:val="18"/>
          <w:szCs w:val="18"/>
        </w:rPr>
        <w:t>issue;</w:t>
      </w:r>
      <w:proofErr w:type="gramEnd"/>
    </w:p>
    <w:p w14:paraId="70C85FFB" w14:textId="77777777" w:rsidR="00A93868" w:rsidRPr="00FB4E3C" w:rsidRDefault="00A93868" w:rsidP="00A93868">
      <w:pPr>
        <w:pStyle w:val="ListParagraph"/>
        <w:numPr>
          <w:ilvl w:val="0"/>
          <w:numId w:val="1"/>
        </w:numPr>
        <w:jc w:val="both"/>
        <w:rPr>
          <w:rFonts w:ascii="Verdana" w:eastAsia="Times New Roman" w:hAnsi="Verdana"/>
          <w:sz w:val="18"/>
          <w:szCs w:val="18"/>
        </w:rPr>
      </w:pPr>
      <w:r w:rsidRPr="00FB4E3C">
        <w:rPr>
          <w:rFonts w:ascii="Verdana" w:eastAsia="Times New Roman" w:hAnsi="Verdana"/>
          <w:sz w:val="18"/>
          <w:szCs w:val="18"/>
        </w:rPr>
        <w:t xml:space="preserve">RPV of the </w:t>
      </w:r>
      <w:proofErr w:type="gramStart"/>
      <w:r w:rsidRPr="00FB4E3C">
        <w:rPr>
          <w:rFonts w:ascii="Verdana" w:eastAsia="Times New Roman" w:hAnsi="Verdana"/>
          <w:sz w:val="18"/>
          <w:szCs w:val="18"/>
        </w:rPr>
        <w:t>AMC;</w:t>
      </w:r>
      <w:proofErr w:type="gramEnd"/>
    </w:p>
    <w:p w14:paraId="52170B55" w14:textId="77777777" w:rsidR="00A93868" w:rsidRPr="00FB4E3C" w:rsidRDefault="00A93868" w:rsidP="00A93868">
      <w:pPr>
        <w:pStyle w:val="ListParagraph"/>
        <w:numPr>
          <w:ilvl w:val="0"/>
          <w:numId w:val="1"/>
        </w:numPr>
        <w:jc w:val="both"/>
        <w:rPr>
          <w:rFonts w:ascii="Verdana" w:eastAsia="Times New Roman" w:hAnsi="Verdana"/>
          <w:sz w:val="18"/>
          <w:szCs w:val="18"/>
        </w:rPr>
      </w:pPr>
      <w:r w:rsidRPr="00FB4E3C">
        <w:rPr>
          <w:rFonts w:ascii="Verdana" w:eastAsia="Times New Roman" w:hAnsi="Verdana"/>
          <w:sz w:val="18"/>
          <w:szCs w:val="18"/>
        </w:rPr>
        <w:t xml:space="preserve">Total cost of the </w:t>
      </w:r>
      <w:proofErr w:type="gramStart"/>
      <w:r w:rsidRPr="00FB4E3C">
        <w:rPr>
          <w:rFonts w:ascii="Verdana" w:eastAsia="Times New Roman" w:hAnsi="Verdana"/>
          <w:sz w:val="18"/>
          <w:szCs w:val="18"/>
        </w:rPr>
        <w:t>instrument;</w:t>
      </w:r>
      <w:proofErr w:type="gramEnd"/>
    </w:p>
    <w:p w14:paraId="591A8C20" w14:textId="77777777" w:rsidR="00A93868" w:rsidRPr="00FB4E3C" w:rsidRDefault="00A93868" w:rsidP="00A93868">
      <w:pPr>
        <w:pStyle w:val="ListParagraph"/>
        <w:numPr>
          <w:ilvl w:val="0"/>
          <w:numId w:val="1"/>
        </w:numPr>
        <w:jc w:val="both"/>
        <w:rPr>
          <w:rFonts w:ascii="Verdana" w:eastAsia="Times New Roman" w:hAnsi="Verdana"/>
          <w:sz w:val="18"/>
          <w:szCs w:val="18"/>
        </w:rPr>
      </w:pPr>
      <w:r w:rsidRPr="00FB4E3C">
        <w:rPr>
          <w:rFonts w:ascii="Verdana" w:eastAsia="Times New Roman" w:hAnsi="Verdana"/>
          <w:sz w:val="18"/>
          <w:szCs w:val="18"/>
        </w:rPr>
        <w:t xml:space="preserve">Current bid/offer spread applicable, where an agent is appointed, if applicable to the </w:t>
      </w:r>
      <w:proofErr w:type="gramStart"/>
      <w:r w:rsidRPr="00FB4E3C">
        <w:rPr>
          <w:rFonts w:ascii="Verdana" w:eastAsia="Times New Roman" w:hAnsi="Verdana"/>
          <w:sz w:val="18"/>
          <w:szCs w:val="18"/>
        </w:rPr>
        <w:t>instrument;</w:t>
      </w:r>
      <w:proofErr w:type="gramEnd"/>
    </w:p>
    <w:p w14:paraId="6A7E9611" w14:textId="77777777" w:rsidR="00A93868" w:rsidRPr="00FB4E3C" w:rsidRDefault="00A93868" w:rsidP="00A93868">
      <w:pPr>
        <w:pStyle w:val="ListParagraph"/>
        <w:numPr>
          <w:ilvl w:val="0"/>
          <w:numId w:val="1"/>
        </w:numPr>
        <w:jc w:val="both"/>
        <w:rPr>
          <w:rFonts w:ascii="Verdana" w:eastAsia="Times New Roman" w:hAnsi="Verdana"/>
          <w:sz w:val="18"/>
          <w:szCs w:val="18"/>
        </w:rPr>
      </w:pPr>
      <w:r w:rsidRPr="00FB4E3C">
        <w:rPr>
          <w:rFonts w:ascii="Verdana" w:eastAsia="Times New Roman" w:hAnsi="Verdana"/>
          <w:sz w:val="18"/>
          <w:szCs w:val="18"/>
        </w:rPr>
        <w:t xml:space="preserve">The top 10 holdings of the </w:t>
      </w:r>
      <w:proofErr w:type="gramStart"/>
      <w:r w:rsidRPr="00FB4E3C">
        <w:rPr>
          <w:rFonts w:ascii="Verdana" w:eastAsia="Times New Roman" w:hAnsi="Verdana"/>
          <w:sz w:val="18"/>
          <w:szCs w:val="18"/>
        </w:rPr>
        <w:t>portfolio;</w:t>
      </w:r>
      <w:proofErr w:type="gramEnd"/>
    </w:p>
    <w:p w14:paraId="15500057" w14:textId="77777777" w:rsidR="00A93868" w:rsidRPr="00FB4E3C" w:rsidRDefault="00A93868" w:rsidP="00A93868">
      <w:pPr>
        <w:pStyle w:val="ListParagraph"/>
        <w:numPr>
          <w:ilvl w:val="0"/>
          <w:numId w:val="1"/>
        </w:numPr>
        <w:jc w:val="both"/>
        <w:rPr>
          <w:rFonts w:ascii="Verdana" w:eastAsia="Times New Roman" w:hAnsi="Verdana"/>
          <w:sz w:val="18"/>
          <w:szCs w:val="18"/>
        </w:rPr>
      </w:pPr>
      <w:r w:rsidRPr="00FB4E3C">
        <w:rPr>
          <w:rFonts w:ascii="Verdana" w:eastAsia="Times New Roman" w:hAnsi="Verdana"/>
          <w:color w:val="282828"/>
          <w:sz w:val="18"/>
          <w:szCs w:val="18"/>
        </w:rPr>
        <w:t xml:space="preserve">Performance of the </w:t>
      </w:r>
      <w:proofErr w:type="gramStart"/>
      <w:r w:rsidRPr="00FB4E3C">
        <w:rPr>
          <w:rFonts w:ascii="Verdana" w:eastAsia="Times New Roman" w:hAnsi="Verdana"/>
          <w:color w:val="282828"/>
          <w:sz w:val="18"/>
          <w:szCs w:val="18"/>
        </w:rPr>
        <w:t>portfolio;</w:t>
      </w:r>
      <w:proofErr w:type="gramEnd"/>
    </w:p>
    <w:p w14:paraId="3929CE3E" w14:textId="77777777" w:rsidR="00A93868" w:rsidRPr="00FB4E3C" w:rsidRDefault="00A93868" w:rsidP="00A93868">
      <w:pPr>
        <w:pStyle w:val="ListParagraph"/>
        <w:numPr>
          <w:ilvl w:val="0"/>
          <w:numId w:val="1"/>
        </w:numPr>
        <w:jc w:val="both"/>
        <w:rPr>
          <w:rFonts w:ascii="Verdana" w:eastAsia="Times New Roman" w:hAnsi="Verdana"/>
          <w:sz w:val="18"/>
          <w:szCs w:val="18"/>
        </w:rPr>
      </w:pPr>
      <w:r w:rsidRPr="00FB4E3C">
        <w:rPr>
          <w:rFonts w:ascii="Verdana" w:eastAsia="Times New Roman" w:hAnsi="Verdana"/>
          <w:color w:val="282828"/>
          <w:sz w:val="18"/>
          <w:szCs w:val="18"/>
        </w:rPr>
        <w:t>Regional disclosure; and</w:t>
      </w:r>
    </w:p>
    <w:p w14:paraId="13D9E2B0" w14:textId="77777777" w:rsidR="00A93868" w:rsidRDefault="00A93868" w:rsidP="00A93868">
      <w:pPr>
        <w:pStyle w:val="ListParagraph"/>
        <w:numPr>
          <w:ilvl w:val="0"/>
          <w:numId w:val="1"/>
        </w:numPr>
        <w:jc w:val="both"/>
        <w:rPr>
          <w:rFonts w:ascii="Verdana" w:eastAsia="Times New Roman" w:hAnsi="Verdana"/>
          <w:sz w:val="18"/>
          <w:szCs w:val="18"/>
        </w:rPr>
      </w:pPr>
      <w:r w:rsidRPr="00FB4E3C">
        <w:rPr>
          <w:rFonts w:ascii="Verdana" w:eastAsia="Times New Roman" w:hAnsi="Verdana"/>
          <w:sz w:val="18"/>
          <w:szCs w:val="18"/>
        </w:rPr>
        <w:t xml:space="preserve">Contact </w:t>
      </w:r>
      <w:proofErr w:type="gramStart"/>
      <w:r w:rsidRPr="00FB4E3C">
        <w:rPr>
          <w:rFonts w:ascii="Verdana" w:eastAsia="Times New Roman" w:hAnsi="Verdana"/>
          <w:sz w:val="18"/>
          <w:szCs w:val="18"/>
        </w:rPr>
        <w:t>name  and</w:t>
      </w:r>
      <w:proofErr w:type="gramEnd"/>
      <w:r w:rsidRPr="00FB4E3C">
        <w:rPr>
          <w:rFonts w:ascii="Verdana" w:eastAsia="Times New Roman" w:hAnsi="Verdana"/>
          <w:sz w:val="18"/>
          <w:szCs w:val="18"/>
        </w:rPr>
        <w:t xml:space="preserve"> contact details to obtain additional information from the issuer regarding the AMC.</w:t>
      </w:r>
    </w:p>
    <w:p w14:paraId="28DA3C53" w14:textId="77777777" w:rsidR="00A93868" w:rsidRDefault="00A93868" w:rsidP="00A93868">
      <w:pPr>
        <w:pStyle w:val="ListParagraph"/>
        <w:numPr>
          <w:ilvl w:val="0"/>
          <w:numId w:val="1"/>
        </w:numPr>
        <w:jc w:val="both"/>
        <w:rPr>
          <w:rFonts w:ascii="Verdana" w:eastAsia="Times New Roman" w:hAnsi="Verdana"/>
          <w:sz w:val="18"/>
          <w:szCs w:val="18"/>
        </w:rPr>
      </w:pPr>
      <w:r>
        <w:rPr>
          <w:rFonts w:ascii="Verdana" w:eastAsia="Times New Roman" w:hAnsi="Verdana"/>
          <w:sz w:val="18"/>
          <w:szCs w:val="18"/>
        </w:rPr>
        <w:t xml:space="preserve">Risk profile of the portfolio. </w:t>
      </w:r>
    </w:p>
    <w:p w14:paraId="57491371" w14:textId="77777777" w:rsidR="00A93868" w:rsidRPr="00BE0CBD" w:rsidRDefault="00A93868" w:rsidP="00A93868">
      <w:pPr>
        <w:ind w:left="360"/>
        <w:jc w:val="both"/>
        <w:rPr>
          <w:rFonts w:ascii="Verdana" w:eastAsia="Times New Roman" w:hAnsi="Verdana"/>
          <w:sz w:val="18"/>
          <w:szCs w:val="18"/>
        </w:rPr>
      </w:pPr>
    </w:p>
    <w:p w14:paraId="462D713B" w14:textId="77777777" w:rsidR="002867F4" w:rsidRDefault="002867F4"/>
    <w:sectPr w:rsidR="002867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B4F3F" w14:textId="77777777" w:rsidR="00A93868" w:rsidRDefault="00A93868" w:rsidP="00A93868">
      <w:pPr>
        <w:spacing w:after="0" w:line="240" w:lineRule="auto"/>
      </w:pPr>
      <w:r>
        <w:separator/>
      </w:r>
    </w:p>
  </w:endnote>
  <w:endnote w:type="continuationSeparator" w:id="0">
    <w:p w14:paraId="1AE0DBA1" w14:textId="77777777" w:rsidR="00A93868" w:rsidRDefault="00A93868" w:rsidP="00A93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3C3C8" w14:textId="77777777" w:rsidR="00A93868" w:rsidRDefault="00A93868" w:rsidP="00A93868">
      <w:pPr>
        <w:spacing w:after="0" w:line="240" w:lineRule="auto"/>
      </w:pPr>
      <w:r>
        <w:separator/>
      </w:r>
    </w:p>
  </w:footnote>
  <w:footnote w:type="continuationSeparator" w:id="0">
    <w:p w14:paraId="0F956A6C" w14:textId="77777777" w:rsidR="00A93868" w:rsidRDefault="00A93868" w:rsidP="00A938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B6F74"/>
    <w:multiLevelType w:val="hybridMultilevel"/>
    <w:tmpl w:val="01CA1F70"/>
    <w:lvl w:ilvl="0" w:tplc="8C80A5B0">
      <w:start w:val="1"/>
      <w:numFmt w:val="decimal"/>
      <w:lvlText w:val="%1"/>
      <w:lvlJc w:val="left"/>
      <w:pPr>
        <w:ind w:left="1080" w:hanging="720"/>
      </w:pPr>
      <w:rPr>
        <w:rFonts w:ascii="Verdana" w:eastAsia="Times New Roman" w:hAnsi="Verdana" w:cstheme="minorBidi"/>
        <w:sz w:val="21"/>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695930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868"/>
    <w:rsid w:val="0001546E"/>
    <w:rsid w:val="000F1835"/>
    <w:rsid w:val="002867F4"/>
    <w:rsid w:val="00A9386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86CE6"/>
  <w15:chartTrackingRefBased/>
  <w15:docId w15:val="{F3A916EC-037B-4ADB-8804-968BBDD49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868"/>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868"/>
    <w:pPr>
      <w:spacing w:after="0" w:line="312" w:lineRule="auto"/>
      <w:ind w:left="720"/>
      <w:contextualSpacing/>
    </w:pPr>
    <w:rPr>
      <w:rFonts w:ascii="Arial" w:eastAsia="Times"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93C35-DB66-4285-8C03-0C02D2E86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Alwyn Fouchee</dc:creator>
  <cp:keywords/>
  <dc:description/>
  <cp:lastModifiedBy>Alwyn Fouchee</cp:lastModifiedBy>
  <cp:revision>1</cp:revision>
  <dcterms:created xsi:type="dcterms:W3CDTF">2022-06-28T10:17:00Z</dcterms:created>
  <dcterms:modified xsi:type="dcterms:W3CDTF">2022-06-28T10:18:00Z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93fc94-2a04-4870-acee-9c0cd4b7d590_Enabled">
    <vt:lpwstr>true</vt:lpwstr>
  </property>
  <property fmtid="{D5CDD505-2E9C-101B-9397-08002B2CF9AE}" pid="3" name="MSIP_Label_ce93fc94-2a04-4870-acee-9c0cd4b7d590_SetDate">
    <vt:lpwstr>2022-06-28T10:17:24Z</vt:lpwstr>
  </property>
  <property fmtid="{D5CDD505-2E9C-101B-9397-08002B2CF9AE}" pid="4" name="MSIP_Label_ce93fc94-2a04-4870-acee-9c0cd4b7d590_Method">
    <vt:lpwstr>Standard</vt:lpwstr>
  </property>
  <property fmtid="{D5CDD505-2E9C-101B-9397-08002B2CF9AE}" pid="5" name="MSIP_Label_ce93fc94-2a04-4870-acee-9c0cd4b7d590_Name">
    <vt:lpwstr>Internal</vt:lpwstr>
  </property>
  <property fmtid="{D5CDD505-2E9C-101B-9397-08002B2CF9AE}" pid="6" name="MSIP_Label_ce93fc94-2a04-4870-acee-9c0cd4b7d590_SiteId">
    <vt:lpwstr>cffa6640-7572-4f05-9c64-cd88068c19d4</vt:lpwstr>
  </property>
  <property fmtid="{D5CDD505-2E9C-101B-9397-08002B2CF9AE}" pid="7" name="MSIP_Label_ce93fc94-2a04-4870-acee-9c0cd4b7d590_ActionId">
    <vt:lpwstr>d46ea81a-ce2c-43c2-9ea6-f19fb591a05c</vt:lpwstr>
  </property>
  <property fmtid="{D5CDD505-2E9C-101B-9397-08002B2CF9AE}" pid="8" name="MSIP_Label_ce93fc94-2a04-4870-acee-9c0cd4b7d590_ContentBits">
    <vt:lpwstr>0</vt:lpwstr>
  </property>
</Properties>
</file>