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6C33" w14:textId="77777777" w:rsidR="0013157C" w:rsidRPr="00471D5D" w:rsidRDefault="0013157C" w:rsidP="0013157C">
      <w:pPr>
        <w:jc w:val="both"/>
        <w:rPr>
          <w:rFonts w:ascii="Verdana" w:hAnsi="Verdana" w:cstheme="minorHAnsi"/>
          <w:b/>
          <w:sz w:val="18"/>
          <w:szCs w:val="18"/>
          <w:lang w:val="en-ZA"/>
        </w:rPr>
      </w:pPr>
    </w:p>
    <w:p w14:paraId="4A90E12E" w14:textId="77777777" w:rsidR="0013157C" w:rsidRPr="00471D5D" w:rsidRDefault="0013157C" w:rsidP="0013157C">
      <w:pPr>
        <w:jc w:val="center"/>
        <w:rPr>
          <w:rFonts w:ascii="Verdana" w:hAnsi="Verdana"/>
          <w:b/>
          <w:sz w:val="18"/>
          <w:szCs w:val="18"/>
        </w:rPr>
      </w:pPr>
      <w:r w:rsidRPr="00471D5D">
        <w:rPr>
          <w:rFonts w:ascii="Verdana" w:hAnsi="Verdana" w:cstheme="minorHAnsi"/>
          <w:b/>
          <w:bCs/>
          <w:sz w:val="18"/>
          <w:szCs w:val="18"/>
        </w:rPr>
        <w:t>Form L</w:t>
      </w:r>
      <w:r w:rsidRPr="00471D5D">
        <w:rPr>
          <w:rFonts w:ascii="Verdana" w:hAnsi="Verdana"/>
          <w:b/>
          <w:sz w:val="18"/>
          <w:szCs w:val="18"/>
        </w:rPr>
        <w:t xml:space="preserve"> of Schedule 2</w:t>
      </w:r>
    </w:p>
    <w:p w14:paraId="331B76E8" w14:textId="77777777" w:rsidR="0013157C" w:rsidRPr="00471D5D" w:rsidRDefault="0013157C" w:rsidP="0013157C">
      <w:pPr>
        <w:jc w:val="center"/>
        <w:rPr>
          <w:rFonts w:ascii="Verdana" w:hAnsi="Verdana" w:cstheme="minorHAnsi"/>
          <w:b/>
          <w:bCs/>
          <w:sz w:val="18"/>
          <w:szCs w:val="18"/>
        </w:rPr>
      </w:pPr>
      <w:r w:rsidRPr="00471D5D">
        <w:rPr>
          <w:rFonts w:ascii="Verdana" w:hAnsi="Verdana" w:cstheme="minorHAnsi"/>
          <w:b/>
          <w:bCs/>
          <w:sz w:val="18"/>
          <w:szCs w:val="18"/>
        </w:rPr>
        <w:t>AMETF Fact Sheet</w:t>
      </w:r>
    </w:p>
    <w:p w14:paraId="3FAD69EA" w14:textId="77777777" w:rsidR="0013157C" w:rsidRPr="00471D5D" w:rsidRDefault="0013157C" w:rsidP="0013157C">
      <w:pPr>
        <w:jc w:val="both"/>
        <w:rPr>
          <w:rFonts w:ascii="Verdana" w:hAnsi="Verdana" w:cstheme="minorHAnsi"/>
          <w:sz w:val="18"/>
          <w:szCs w:val="18"/>
        </w:rPr>
      </w:pPr>
    </w:p>
    <w:p w14:paraId="7AC5025B" w14:textId="77777777" w:rsidR="0013157C" w:rsidRPr="00471D5D" w:rsidRDefault="0013157C" w:rsidP="0013157C">
      <w:pPr>
        <w:jc w:val="both"/>
        <w:rPr>
          <w:rFonts w:ascii="Verdana" w:eastAsia="Times New Roman" w:hAnsi="Verdana"/>
          <w:sz w:val="18"/>
          <w:szCs w:val="18"/>
        </w:rPr>
      </w:pPr>
      <w:r w:rsidRPr="00471D5D">
        <w:rPr>
          <w:rFonts w:ascii="Verdana" w:eastAsia="Times New Roman" w:hAnsi="Verdana"/>
          <w:sz w:val="18"/>
          <w:szCs w:val="18"/>
        </w:rPr>
        <w:t>The fact sheet must, as a minimum, include the following disclosures:</w:t>
      </w:r>
    </w:p>
    <w:p w14:paraId="72F860C8"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The issuer must state in the factsheet that the placing document or pricing supplement includes the detail information on the </w:t>
      </w:r>
      <w:proofErr w:type="gramStart"/>
      <w:r w:rsidRPr="00471D5D">
        <w:rPr>
          <w:rFonts w:ascii="Verdana" w:eastAsia="Times New Roman" w:hAnsi="Verdana"/>
          <w:sz w:val="18"/>
          <w:szCs w:val="18"/>
        </w:rPr>
        <w:t>AMETF</w:t>
      </w:r>
      <w:proofErr w:type="gramEnd"/>
      <w:r w:rsidRPr="00471D5D">
        <w:rPr>
          <w:rFonts w:ascii="Verdana" w:eastAsia="Times New Roman" w:hAnsi="Verdana"/>
          <w:sz w:val="18"/>
          <w:szCs w:val="18"/>
        </w:rPr>
        <w:t xml:space="preserve"> and investors must ensure that the factsheet is read in conjunction with the placing document or pricing supplement;</w:t>
      </w:r>
    </w:p>
    <w:p w14:paraId="3DA5BF15"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The total number of AMETF units in </w:t>
      </w:r>
      <w:proofErr w:type="gramStart"/>
      <w:r w:rsidRPr="00471D5D">
        <w:rPr>
          <w:rFonts w:ascii="Verdana" w:eastAsia="Times New Roman" w:hAnsi="Verdana"/>
          <w:sz w:val="18"/>
          <w:szCs w:val="18"/>
        </w:rPr>
        <w:t>issue;</w:t>
      </w:r>
      <w:proofErr w:type="gramEnd"/>
    </w:p>
    <w:p w14:paraId="1AA06E29"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NAV of the </w:t>
      </w:r>
      <w:proofErr w:type="gramStart"/>
      <w:r w:rsidRPr="00471D5D">
        <w:rPr>
          <w:rFonts w:ascii="Verdana" w:eastAsia="Times New Roman" w:hAnsi="Verdana"/>
          <w:sz w:val="18"/>
          <w:szCs w:val="18"/>
        </w:rPr>
        <w:t>AMETF;</w:t>
      </w:r>
      <w:proofErr w:type="gramEnd"/>
    </w:p>
    <w:p w14:paraId="17AED318"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Expense ratio of the </w:t>
      </w:r>
      <w:proofErr w:type="gramStart"/>
      <w:r w:rsidRPr="00471D5D">
        <w:rPr>
          <w:rFonts w:ascii="Verdana" w:eastAsia="Times New Roman" w:hAnsi="Verdana"/>
          <w:sz w:val="18"/>
          <w:szCs w:val="18"/>
        </w:rPr>
        <w:t>AMETF;</w:t>
      </w:r>
      <w:proofErr w:type="gramEnd"/>
    </w:p>
    <w:p w14:paraId="28E4FC0A"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Current bid/offer spread applicable, where an agent is </w:t>
      </w:r>
      <w:proofErr w:type="gramStart"/>
      <w:r w:rsidRPr="00471D5D">
        <w:rPr>
          <w:rFonts w:ascii="Verdana" w:eastAsia="Times New Roman" w:hAnsi="Verdana"/>
          <w:sz w:val="18"/>
          <w:szCs w:val="18"/>
        </w:rPr>
        <w:t>appointed;</w:t>
      </w:r>
      <w:proofErr w:type="gramEnd"/>
    </w:p>
    <w:p w14:paraId="73A5C793"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The top 10 holdings of the </w:t>
      </w:r>
      <w:proofErr w:type="gramStart"/>
      <w:r w:rsidRPr="00471D5D">
        <w:rPr>
          <w:rFonts w:ascii="Verdana" w:eastAsia="Times New Roman" w:hAnsi="Verdana"/>
          <w:sz w:val="18"/>
          <w:szCs w:val="18"/>
        </w:rPr>
        <w:t>AMETF;</w:t>
      </w:r>
      <w:proofErr w:type="gramEnd"/>
    </w:p>
    <w:p w14:paraId="39E6383B"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color w:val="282828"/>
          <w:sz w:val="18"/>
          <w:szCs w:val="18"/>
        </w:rPr>
        <w:t xml:space="preserve">Performance of the </w:t>
      </w:r>
      <w:proofErr w:type="gramStart"/>
      <w:r w:rsidRPr="00471D5D">
        <w:rPr>
          <w:rFonts w:ascii="Verdana" w:eastAsia="Times New Roman" w:hAnsi="Verdana"/>
          <w:color w:val="282828"/>
          <w:sz w:val="18"/>
          <w:szCs w:val="18"/>
        </w:rPr>
        <w:t>AMETF;</w:t>
      </w:r>
      <w:proofErr w:type="gramEnd"/>
    </w:p>
    <w:p w14:paraId="50080394"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color w:val="282828"/>
          <w:sz w:val="18"/>
          <w:szCs w:val="18"/>
        </w:rPr>
        <w:t>Regional disclosure; and</w:t>
      </w:r>
    </w:p>
    <w:p w14:paraId="5E7E1DEE"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Contact name and contact details to obtain additional information from the issuer regarding the AMETF.</w:t>
      </w:r>
    </w:p>
    <w:p w14:paraId="274F1325" w14:textId="77777777" w:rsidR="0013157C" w:rsidRPr="00471D5D" w:rsidRDefault="0013157C" w:rsidP="0013157C">
      <w:pPr>
        <w:pStyle w:val="ListParagraph"/>
        <w:numPr>
          <w:ilvl w:val="0"/>
          <w:numId w:val="1"/>
        </w:numPr>
        <w:jc w:val="both"/>
        <w:rPr>
          <w:rFonts w:ascii="Verdana" w:eastAsia="Times New Roman" w:hAnsi="Verdana"/>
          <w:sz w:val="18"/>
          <w:szCs w:val="18"/>
        </w:rPr>
      </w:pPr>
      <w:r w:rsidRPr="00471D5D">
        <w:rPr>
          <w:rFonts w:ascii="Verdana" w:eastAsia="Times New Roman" w:hAnsi="Verdana"/>
          <w:sz w:val="18"/>
          <w:szCs w:val="18"/>
        </w:rPr>
        <w:t xml:space="preserve">Risk profile of the portfolio. </w:t>
      </w:r>
    </w:p>
    <w:p w14:paraId="1F9E4A8F" w14:textId="77777777" w:rsidR="0013157C" w:rsidRPr="00471D5D" w:rsidRDefault="0013157C" w:rsidP="0013157C">
      <w:pPr>
        <w:jc w:val="both"/>
        <w:rPr>
          <w:rFonts w:ascii="Verdana" w:hAnsi="Verdana" w:cstheme="minorHAnsi"/>
          <w:b/>
          <w:sz w:val="18"/>
          <w:szCs w:val="18"/>
          <w:lang w:val="en-ZA"/>
        </w:rPr>
      </w:pPr>
    </w:p>
    <w:p w14:paraId="169F1ACE" w14:textId="77777777" w:rsidR="0013157C" w:rsidRPr="00471D5D" w:rsidRDefault="0013157C" w:rsidP="0013157C">
      <w:pPr>
        <w:jc w:val="both"/>
        <w:rPr>
          <w:rFonts w:ascii="Verdana" w:hAnsi="Verdana" w:cstheme="minorHAnsi"/>
          <w:b/>
          <w:sz w:val="18"/>
          <w:szCs w:val="18"/>
          <w:lang w:val="en-ZA"/>
        </w:rPr>
      </w:pPr>
    </w:p>
    <w:p w14:paraId="70D415EB" w14:textId="77777777" w:rsidR="0013157C" w:rsidRPr="00471D5D" w:rsidRDefault="0013157C" w:rsidP="0013157C">
      <w:pPr>
        <w:jc w:val="both"/>
        <w:rPr>
          <w:rFonts w:ascii="Verdana" w:hAnsi="Verdana" w:cstheme="minorHAnsi"/>
          <w:b/>
          <w:sz w:val="18"/>
          <w:szCs w:val="18"/>
          <w:lang w:val="en-ZA"/>
        </w:rPr>
      </w:pPr>
      <w:r w:rsidRPr="00471D5D">
        <w:rPr>
          <w:rFonts w:ascii="Verdana" w:eastAsia="Calibri" w:hAnsi="Verdana" w:cs="Arial"/>
          <w:color w:val="000000"/>
          <w:sz w:val="18"/>
          <w:szCs w:val="18"/>
          <w:lang w:val="en-GB"/>
        </w:rPr>
        <w:t>On the basis that the AMETF is registered as a Collective Investment Scheme under CISCA (or an approved foreign collective investment scheme under S65 of CISCA), the above disclosures can be included in the minimum disclosure document as required under CISCA regulations, without the requirement for a separate Fact Sheet.</w:t>
      </w:r>
    </w:p>
    <w:p w14:paraId="7FFCB3AD" w14:textId="77777777" w:rsidR="0013157C" w:rsidRDefault="0013157C"/>
    <w:sectPr w:rsidR="0013157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AC088" w14:textId="77777777" w:rsidR="0013157C" w:rsidRDefault="0013157C" w:rsidP="0013157C">
      <w:pPr>
        <w:spacing w:after="0" w:line="240" w:lineRule="auto"/>
      </w:pPr>
      <w:r>
        <w:separator/>
      </w:r>
    </w:p>
  </w:endnote>
  <w:endnote w:type="continuationSeparator" w:id="0">
    <w:p w14:paraId="66782B3D" w14:textId="77777777" w:rsidR="0013157C" w:rsidRDefault="0013157C" w:rsidP="00131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1584C" w14:textId="77777777" w:rsidR="0013157C" w:rsidRDefault="0013157C" w:rsidP="0013157C">
      <w:pPr>
        <w:spacing w:after="0" w:line="240" w:lineRule="auto"/>
      </w:pPr>
      <w:r>
        <w:separator/>
      </w:r>
    </w:p>
  </w:footnote>
  <w:footnote w:type="continuationSeparator" w:id="0">
    <w:p w14:paraId="10335FA9" w14:textId="77777777" w:rsidR="0013157C" w:rsidRDefault="0013157C" w:rsidP="001315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B6F74"/>
    <w:multiLevelType w:val="hybridMultilevel"/>
    <w:tmpl w:val="01CA1F70"/>
    <w:lvl w:ilvl="0" w:tplc="8C80A5B0">
      <w:start w:val="1"/>
      <w:numFmt w:val="decimal"/>
      <w:lvlText w:val="%1"/>
      <w:lvlJc w:val="left"/>
      <w:pPr>
        <w:ind w:left="1080" w:hanging="720"/>
      </w:pPr>
      <w:rPr>
        <w:rFonts w:ascii="Verdana" w:eastAsia="Times New Roman" w:hAnsi="Verdana" w:cstheme="minorBidi"/>
        <w:sz w:val="21"/>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2462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7C"/>
    <w:rsid w:val="001315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02200"/>
  <w15:chartTrackingRefBased/>
  <w15:docId w15:val="{A2BF6D1F-2F11-46B4-B29F-96E749C4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57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57C"/>
    <w:pPr>
      <w:spacing w:after="0" w:line="312" w:lineRule="auto"/>
      <w:ind w:left="720"/>
      <w:contextualSpacing/>
    </w:pPr>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901</Characters>
  <Application>Microsoft Office Word</Application>
  <DocSecurity>0</DocSecurity>
  <Lines>7</Lines>
  <Paragraphs>2</Paragraphs>
  <ScaleCrop>false</ScaleCrop>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Alwyn Fouchee</dc:creator>
  <cp:keywords/>
  <dc:description/>
  <cp:lastModifiedBy>Alwyn Fouchee</cp:lastModifiedBy>
  <cp:revision>1</cp:revision>
  <dcterms:created xsi:type="dcterms:W3CDTF">2022-09-23T05:33:00Z</dcterms:created>
  <dcterms:modified xsi:type="dcterms:W3CDTF">2022-09-23T05:34:00Z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93fc94-2a04-4870-acee-9c0cd4b7d590_Enabled">
    <vt:lpwstr>true</vt:lpwstr>
  </property>
  <property fmtid="{D5CDD505-2E9C-101B-9397-08002B2CF9AE}" pid="3" name="MSIP_Label_ce93fc94-2a04-4870-acee-9c0cd4b7d590_SetDate">
    <vt:lpwstr>2022-09-23T05:33:37Z</vt:lpwstr>
  </property>
  <property fmtid="{D5CDD505-2E9C-101B-9397-08002B2CF9AE}" pid="4" name="MSIP_Label_ce93fc94-2a04-4870-acee-9c0cd4b7d590_Method">
    <vt:lpwstr>Standard</vt:lpwstr>
  </property>
  <property fmtid="{D5CDD505-2E9C-101B-9397-08002B2CF9AE}" pid="5" name="MSIP_Label_ce93fc94-2a04-4870-acee-9c0cd4b7d590_Name">
    <vt:lpwstr>Internal</vt:lpwstr>
  </property>
  <property fmtid="{D5CDD505-2E9C-101B-9397-08002B2CF9AE}" pid="6" name="MSIP_Label_ce93fc94-2a04-4870-acee-9c0cd4b7d590_SiteId">
    <vt:lpwstr>cffa6640-7572-4f05-9c64-cd88068c19d4</vt:lpwstr>
  </property>
  <property fmtid="{D5CDD505-2E9C-101B-9397-08002B2CF9AE}" pid="7" name="MSIP_Label_ce93fc94-2a04-4870-acee-9c0cd4b7d590_ActionId">
    <vt:lpwstr>5aba5454-47e7-4f1c-91f5-f574c4a65a72</vt:lpwstr>
  </property>
  <property fmtid="{D5CDD505-2E9C-101B-9397-08002B2CF9AE}" pid="8" name="MSIP_Label_ce93fc94-2a04-4870-acee-9c0cd4b7d590_ContentBits">
    <vt:lpwstr>0</vt:lpwstr>
  </property>
</Properties>
</file>