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9D9B" w14:textId="18DFC8FA" w:rsidR="005B095E" w:rsidRPr="00834FA4" w:rsidRDefault="005B095E" w:rsidP="005B095E">
      <w:pPr>
        <w:jc w:val="center"/>
        <w:rPr>
          <w:rFonts w:cstheme="minorHAnsi"/>
          <w:b/>
          <w:bCs/>
        </w:rPr>
      </w:pPr>
      <w:r w:rsidRPr="00834FA4">
        <w:rPr>
          <w:rFonts w:cstheme="minorHAnsi"/>
          <w:b/>
          <w:bCs/>
        </w:rPr>
        <w:t>Proposed Amendments to the JSE Listings Requirements</w:t>
      </w:r>
    </w:p>
    <w:p w14:paraId="5ABB1DD2" w14:textId="306DE34F" w:rsidR="005B095E" w:rsidRPr="00834FA4" w:rsidRDefault="00094F1D" w:rsidP="005B095E">
      <w:pPr>
        <w:jc w:val="center"/>
        <w:rPr>
          <w:rFonts w:cstheme="minorHAnsi"/>
          <w:b/>
          <w:bCs/>
        </w:rPr>
      </w:pPr>
      <w:r>
        <w:rPr>
          <w:rFonts w:cstheme="minorHAnsi"/>
          <w:b/>
          <w:bCs/>
        </w:rPr>
        <w:t xml:space="preserve">JSE Consultation Paper Proposals </w:t>
      </w:r>
    </w:p>
    <w:p w14:paraId="256EEF15" w14:textId="08D68DC1" w:rsidR="00841ED1" w:rsidRPr="00834FA4" w:rsidRDefault="006369AC" w:rsidP="0067294F">
      <w:pPr>
        <w:jc w:val="center"/>
        <w:rPr>
          <w:rFonts w:cstheme="minorHAnsi"/>
          <w:b/>
          <w:bCs/>
        </w:rPr>
      </w:pPr>
      <w:r>
        <w:rPr>
          <w:rFonts w:cstheme="minorHAnsi"/>
          <w:b/>
          <w:bCs/>
        </w:rPr>
        <w:t>October</w:t>
      </w:r>
      <w:r w:rsidR="005B095E" w:rsidRPr="00834FA4">
        <w:rPr>
          <w:rFonts w:cstheme="minorHAnsi"/>
          <w:b/>
          <w:bCs/>
        </w:rPr>
        <w:t xml:space="preserve"> 2022</w:t>
      </w:r>
    </w:p>
    <w:p w14:paraId="51C8FA5C" w14:textId="66830084" w:rsidR="0059177C" w:rsidRPr="00834FA4" w:rsidRDefault="0059177C" w:rsidP="0067294F">
      <w:pPr>
        <w:jc w:val="center"/>
        <w:rPr>
          <w:rFonts w:cstheme="minorHAnsi"/>
          <w:b/>
          <w:bCs/>
        </w:rPr>
      </w:pPr>
      <w:r w:rsidRPr="00834FA4">
        <w:rPr>
          <w:rFonts w:cstheme="minorHAnsi"/>
          <w:b/>
          <w:bCs/>
        </w:rPr>
        <w:t>_______________________________________________________________________________________________________________________________</w:t>
      </w:r>
    </w:p>
    <w:p w14:paraId="47FA39CF" w14:textId="00097720" w:rsidR="004B45CC" w:rsidRPr="00420243" w:rsidRDefault="004B45CC" w:rsidP="00420243">
      <w:pPr>
        <w:jc w:val="both"/>
        <w:rPr>
          <w:rFonts w:cstheme="minorHAnsi"/>
          <w:b/>
          <w:bCs/>
        </w:rPr>
      </w:pPr>
      <w:r w:rsidRPr="00834FA4">
        <w:rPr>
          <w:rFonts w:cstheme="minorHAnsi"/>
          <w:b/>
          <w:bCs/>
        </w:rPr>
        <w:t>Introduction</w:t>
      </w:r>
    </w:p>
    <w:p w14:paraId="61F304CF" w14:textId="19213620" w:rsidR="003D105E" w:rsidRDefault="00451880" w:rsidP="003D105E">
      <w:pPr>
        <w:pStyle w:val="NormalWeb"/>
        <w:shd w:val="clear" w:color="auto" w:fill="FFFFFF"/>
        <w:spacing w:before="0" w:beforeAutospacing="0" w:after="240" w:afterAutospacing="0"/>
        <w:jc w:val="both"/>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F</w:t>
      </w:r>
      <w:r w:rsidR="00C805B3">
        <w:rPr>
          <w:rFonts w:asciiTheme="minorHAnsi" w:hAnsiTheme="minorHAnsi" w:cstheme="minorHAnsi"/>
          <w:color w:val="222222"/>
          <w:sz w:val="22"/>
          <w:szCs w:val="22"/>
        </w:rPr>
        <w:t xml:space="preserve">ollowing the </w:t>
      </w:r>
      <w:r>
        <w:rPr>
          <w:rFonts w:asciiTheme="minorHAnsi" w:hAnsiTheme="minorHAnsi" w:cstheme="minorHAnsi"/>
          <w:color w:val="222222"/>
          <w:sz w:val="22"/>
          <w:szCs w:val="22"/>
        </w:rPr>
        <w:t>JSE Response Paper issued in August 2022,</w:t>
      </w:r>
      <w:r w:rsidR="003D105E">
        <w:rPr>
          <w:rFonts w:asciiTheme="minorHAnsi" w:hAnsiTheme="minorHAnsi" w:cstheme="minorHAnsi"/>
          <w:color w:val="222222"/>
          <w:sz w:val="22"/>
          <w:szCs w:val="22"/>
        </w:rPr>
        <w:t xml:space="preserve"> there was overwhelming support for the JSE</w:t>
      </w:r>
      <w:r w:rsidR="000D743D">
        <w:rPr>
          <w:rFonts w:asciiTheme="minorHAnsi" w:hAnsiTheme="minorHAnsi" w:cstheme="minorHAnsi"/>
          <w:color w:val="222222"/>
          <w:sz w:val="22"/>
          <w:szCs w:val="22"/>
        </w:rPr>
        <w:t xml:space="preserve"> to</w:t>
      </w:r>
      <w:r w:rsidR="003D105E">
        <w:rPr>
          <w:rFonts w:asciiTheme="minorHAnsi" w:hAnsiTheme="minorHAnsi" w:cstheme="minorHAnsi"/>
          <w:color w:val="222222"/>
          <w:sz w:val="22"/>
          <w:szCs w:val="22"/>
        </w:rPr>
        <w:t xml:space="preserve"> proceed with</w:t>
      </w:r>
      <w:r w:rsidR="00094F1D">
        <w:rPr>
          <w:rFonts w:asciiTheme="minorHAnsi" w:hAnsiTheme="minorHAnsi" w:cstheme="minorHAnsi"/>
          <w:color w:val="222222"/>
          <w:sz w:val="22"/>
          <w:szCs w:val="22"/>
        </w:rPr>
        <w:t xml:space="preserve"> (i) the introduction of dual class </w:t>
      </w:r>
      <w:proofErr w:type="gramStart"/>
      <w:r w:rsidR="00094F1D">
        <w:rPr>
          <w:rFonts w:asciiTheme="minorHAnsi" w:hAnsiTheme="minorHAnsi" w:cstheme="minorHAnsi"/>
          <w:color w:val="222222"/>
          <w:sz w:val="22"/>
          <w:szCs w:val="22"/>
        </w:rPr>
        <w:t>share</w:t>
      </w:r>
      <w:proofErr w:type="gramEnd"/>
      <w:r w:rsidR="00094F1D">
        <w:rPr>
          <w:rFonts w:asciiTheme="minorHAnsi" w:hAnsiTheme="minorHAnsi" w:cstheme="minorHAnsi"/>
          <w:color w:val="222222"/>
          <w:sz w:val="22"/>
          <w:szCs w:val="22"/>
        </w:rPr>
        <w:t xml:space="preserve"> structures, (ii) </w:t>
      </w:r>
      <w:r w:rsidR="003D105E">
        <w:rPr>
          <w:rFonts w:asciiTheme="minorHAnsi" w:hAnsiTheme="minorHAnsi" w:cstheme="minorHAnsi"/>
          <w:color w:val="222222"/>
          <w:sz w:val="22"/>
          <w:szCs w:val="22"/>
        </w:rPr>
        <w:t>the</w:t>
      </w:r>
      <w:r w:rsidR="002F1E36">
        <w:rPr>
          <w:rFonts w:asciiTheme="minorHAnsi" w:hAnsiTheme="minorHAnsi" w:cstheme="minorHAnsi"/>
          <w:color w:val="222222"/>
          <w:sz w:val="22"/>
          <w:szCs w:val="22"/>
        </w:rPr>
        <w:t xml:space="preserve"> reduction of the free float for new listings and </w:t>
      </w:r>
      <w:r w:rsidR="00094F1D">
        <w:rPr>
          <w:rFonts w:asciiTheme="minorHAnsi" w:hAnsiTheme="minorHAnsi" w:cstheme="minorHAnsi"/>
          <w:color w:val="222222"/>
          <w:sz w:val="22"/>
          <w:szCs w:val="22"/>
        </w:rPr>
        <w:t xml:space="preserve">(iii) </w:t>
      </w:r>
      <w:r w:rsidR="002F1E36">
        <w:rPr>
          <w:rFonts w:asciiTheme="minorHAnsi" w:hAnsiTheme="minorHAnsi" w:cstheme="minorHAnsi"/>
          <w:color w:val="222222"/>
          <w:sz w:val="22"/>
          <w:szCs w:val="22"/>
        </w:rPr>
        <w:t xml:space="preserve">the </w:t>
      </w:r>
      <w:r w:rsidR="00F533B3">
        <w:rPr>
          <w:rFonts w:asciiTheme="minorHAnsi" w:hAnsiTheme="minorHAnsi" w:cstheme="minorHAnsi"/>
          <w:color w:val="222222"/>
          <w:sz w:val="22"/>
          <w:szCs w:val="22"/>
        </w:rPr>
        <w:t xml:space="preserve">inclusion </w:t>
      </w:r>
      <w:r w:rsidR="006C76AA">
        <w:rPr>
          <w:rFonts w:asciiTheme="minorHAnsi" w:hAnsiTheme="minorHAnsi" w:cstheme="minorHAnsi"/>
          <w:color w:val="222222"/>
          <w:sz w:val="22"/>
          <w:szCs w:val="22"/>
        </w:rPr>
        <w:t>of fund managers</w:t>
      </w:r>
      <w:r w:rsidR="008F305D">
        <w:rPr>
          <w:rFonts w:asciiTheme="minorHAnsi" w:hAnsiTheme="minorHAnsi" w:cstheme="minorHAnsi"/>
          <w:color w:val="222222"/>
          <w:sz w:val="22"/>
          <w:szCs w:val="22"/>
        </w:rPr>
        <w:t xml:space="preserve"> </w:t>
      </w:r>
      <w:r w:rsidR="0080082C">
        <w:rPr>
          <w:rFonts w:asciiTheme="minorHAnsi" w:hAnsiTheme="minorHAnsi" w:cstheme="minorHAnsi"/>
          <w:color w:val="222222"/>
          <w:sz w:val="22"/>
          <w:szCs w:val="22"/>
        </w:rPr>
        <w:t xml:space="preserve">and </w:t>
      </w:r>
      <w:r w:rsidR="008F305D">
        <w:rPr>
          <w:rFonts w:asciiTheme="minorHAnsi" w:hAnsiTheme="minorHAnsi" w:cstheme="minorHAnsi"/>
          <w:color w:val="222222"/>
          <w:sz w:val="22"/>
          <w:szCs w:val="22"/>
        </w:rPr>
        <w:t>portfolio managers</w:t>
      </w:r>
      <w:r w:rsidR="00C2488E">
        <w:rPr>
          <w:rFonts w:asciiTheme="minorHAnsi" w:hAnsiTheme="minorHAnsi" w:cstheme="minorHAnsi"/>
          <w:color w:val="222222"/>
          <w:sz w:val="22"/>
          <w:szCs w:val="22"/>
        </w:rPr>
        <w:t>, holding 10% or more in the applicant issuer</w:t>
      </w:r>
      <w:r w:rsidR="002D4500">
        <w:rPr>
          <w:rFonts w:asciiTheme="minorHAnsi" w:hAnsiTheme="minorHAnsi" w:cstheme="minorHAnsi"/>
          <w:color w:val="222222"/>
          <w:sz w:val="22"/>
          <w:szCs w:val="22"/>
        </w:rPr>
        <w:t xml:space="preserve"> </w:t>
      </w:r>
      <w:r w:rsidR="00C2488E">
        <w:rPr>
          <w:rFonts w:asciiTheme="minorHAnsi" w:hAnsiTheme="minorHAnsi" w:cstheme="minorHAnsi"/>
          <w:color w:val="222222"/>
          <w:sz w:val="22"/>
          <w:szCs w:val="22"/>
        </w:rPr>
        <w:t>on listing</w:t>
      </w:r>
      <w:r w:rsidR="002D4500">
        <w:rPr>
          <w:rFonts w:asciiTheme="minorHAnsi" w:hAnsiTheme="minorHAnsi" w:cstheme="minorHAnsi"/>
          <w:color w:val="222222"/>
          <w:sz w:val="22"/>
          <w:szCs w:val="22"/>
        </w:rPr>
        <w:t>,</w:t>
      </w:r>
      <w:r w:rsidR="006C76AA">
        <w:rPr>
          <w:rFonts w:asciiTheme="minorHAnsi" w:hAnsiTheme="minorHAnsi" w:cstheme="minorHAnsi"/>
          <w:color w:val="222222"/>
          <w:sz w:val="22"/>
          <w:szCs w:val="22"/>
        </w:rPr>
        <w:t xml:space="preserve"> </w:t>
      </w:r>
      <w:r w:rsidR="00F533B3">
        <w:rPr>
          <w:rFonts w:asciiTheme="minorHAnsi" w:hAnsiTheme="minorHAnsi" w:cstheme="minorHAnsi"/>
          <w:color w:val="222222"/>
          <w:sz w:val="22"/>
          <w:szCs w:val="22"/>
        </w:rPr>
        <w:t xml:space="preserve">in the free float </w:t>
      </w:r>
      <w:r w:rsidR="0027556F">
        <w:rPr>
          <w:rFonts w:asciiTheme="minorHAnsi" w:hAnsiTheme="minorHAnsi" w:cstheme="minorHAnsi"/>
          <w:color w:val="222222"/>
          <w:sz w:val="22"/>
          <w:szCs w:val="22"/>
        </w:rPr>
        <w:t>assessment.</w:t>
      </w:r>
    </w:p>
    <w:p w14:paraId="57259F3D" w14:textId="2A5D6286" w:rsidR="0031067E" w:rsidRPr="00290AB9" w:rsidRDefault="003D105E" w:rsidP="001F576E">
      <w:pPr>
        <w:spacing w:after="0" w:line="240" w:lineRule="auto"/>
        <w:jc w:val="both"/>
        <w:rPr>
          <w:rFonts w:cstheme="minorHAnsi"/>
          <w:color w:val="222222"/>
        </w:rPr>
      </w:pPr>
      <w:r>
        <w:rPr>
          <w:rFonts w:cstheme="minorHAnsi"/>
          <w:color w:val="222222"/>
        </w:rPr>
        <w:t>T</w:t>
      </w:r>
      <w:r w:rsidR="00E046EA" w:rsidRPr="0031067E">
        <w:rPr>
          <w:rFonts w:cstheme="minorHAnsi"/>
          <w:color w:val="222222"/>
        </w:rPr>
        <w:t xml:space="preserve">he JSE </w:t>
      </w:r>
      <w:r w:rsidR="00420243" w:rsidRPr="0031067E">
        <w:rPr>
          <w:rFonts w:cstheme="minorHAnsi"/>
          <w:color w:val="222222"/>
        </w:rPr>
        <w:t xml:space="preserve">is </w:t>
      </w:r>
      <w:r w:rsidRPr="00290AB9">
        <w:rPr>
          <w:rFonts w:cstheme="minorHAnsi"/>
          <w:color w:val="222222"/>
        </w:rPr>
        <w:t xml:space="preserve">therefore </w:t>
      </w:r>
      <w:r w:rsidR="00420243" w:rsidRPr="00290AB9">
        <w:rPr>
          <w:rFonts w:cstheme="minorHAnsi"/>
          <w:color w:val="222222"/>
        </w:rPr>
        <w:t xml:space="preserve">proposing </w:t>
      </w:r>
      <w:r w:rsidR="00261125" w:rsidRPr="00290AB9">
        <w:rPr>
          <w:rFonts w:cstheme="minorHAnsi"/>
          <w:color w:val="222222"/>
        </w:rPr>
        <w:t>to amend the</w:t>
      </w:r>
      <w:r w:rsidR="00A86EDD">
        <w:rPr>
          <w:rFonts w:cstheme="minorHAnsi"/>
          <w:color w:val="222222"/>
        </w:rPr>
        <w:t xml:space="preserve"> free float assessment</w:t>
      </w:r>
      <w:r w:rsidR="00A86EDD" w:rsidRPr="00290AB9">
        <w:rPr>
          <w:rFonts w:cstheme="minorHAnsi"/>
          <w:color w:val="222222"/>
        </w:rPr>
        <w:t xml:space="preserve"> </w:t>
      </w:r>
      <w:r w:rsidR="00A86EDD">
        <w:rPr>
          <w:rFonts w:cstheme="minorHAnsi"/>
          <w:color w:val="222222"/>
        </w:rPr>
        <w:t xml:space="preserve">in the </w:t>
      </w:r>
      <w:r w:rsidR="00261125" w:rsidRPr="00290AB9">
        <w:rPr>
          <w:rFonts w:cstheme="minorHAnsi"/>
          <w:color w:val="222222"/>
        </w:rPr>
        <w:t>JSE Listings Requirements (the “</w:t>
      </w:r>
      <w:r w:rsidR="00261125" w:rsidRPr="00290AB9">
        <w:rPr>
          <w:rFonts w:cstheme="minorHAnsi"/>
          <w:b/>
          <w:bCs/>
          <w:color w:val="222222"/>
        </w:rPr>
        <w:t>Requirements</w:t>
      </w:r>
      <w:r w:rsidR="00261125" w:rsidRPr="00290AB9">
        <w:rPr>
          <w:rFonts w:cstheme="minorHAnsi"/>
          <w:color w:val="222222"/>
        </w:rPr>
        <w:t>”)</w:t>
      </w:r>
      <w:r w:rsidR="00766E27">
        <w:rPr>
          <w:rFonts w:cstheme="minorHAnsi"/>
          <w:color w:val="222222"/>
        </w:rPr>
        <w:t xml:space="preserve">.  </w:t>
      </w:r>
    </w:p>
    <w:p w14:paraId="0FDE8864" w14:textId="77777777" w:rsidR="001F576E" w:rsidRPr="00290AB9" w:rsidRDefault="001F576E" w:rsidP="001F576E">
      <w:pPr>
        <w:spacing w:after="0" w:line="240" w:lineRule="auto"/>
        <w:jc w:val="both"/>
        <w:rPr>
          <w:rFonts w:cstheme="minorHAnsi"/>
        </w:rPr>
      </w:pPr>
    </w:p>
    <w:p w14:paraId="05526D69" w14:textId="24823847" w:rsidR="008E4D3D" w:rsidRPr="00290AB9" w:rsidRDefault="008E4D3D" w:rsidP="007148F5">
      <w:pPr>
        <w:pStyle w:val="NormalWeb"/>
        <w:shd w:val="clear" w:color="auto" w:fill="FFFFFF"/>
        <w:spacing w:before="0" w:beforeAutospacing="0" w:after="240" w:afterAutospacing="0"/>
        <w:jc w:val="both"/>
        <w:textAlignment w:val="baseline"/>
        <w:rPr>
          <w:rFonts w:asciiTheme="minorHAnsi" w:hAnsiTheme="minorHAnsi" w:cstheme="minorHAnsi"/>
          <w:color w:val="222222"/>
          <w:sz w:val="22"/>
          <w:szCs w:val="22"/>
        </w:rPr>
      </w:pPr>
      <w:r w:rsidRPr="00290AB9">
        <w:rPr>
          <w:rFonts w:asciiTheme="minorHAnsi" w:hAnsiTheme="minorHAnsi" w:cstheme="minorHAnsi"/>
          <w:color w:val="222222"/>
          <w:sz w:val="22"/>
          <w:szCs w:val="22"/>
        </w:rPr>
        <w:t xml:space="preserve">If you </w:t>
      </w:r>
      <w:r w:rsidR="00E52770" w:rsidRPr="00290AB9">
        <w:rPr>
          <w:rFonts w:asciiTheme="minorHAnsi" w:hAnsiTheme="minorHAnsi" w:cstheme="minorHAnsi"/>
          <w:color w:val="222222"/>
          <w:sz w:val="22"/>
          <w:szCs w:val="22"/>
        </w:rPr>
        <w:t xml:space="preserve">may have </w:t>
      </w:r>
      <w:r w:rsidRPr="00290AB9">
        <w:rPr>
          <w:rFonts w:asciiTheme="minorHAnsi" w:hAnsiTheme="minorHAnsi" w:cstheme="minorHAnsi"/>
          <w:color w:val="222222"/>
          <w:sz w:val="22"/>
          <w:szCs w:val="22"/>
        </w:rPr>
        <w:t xml:space="preserve">missed the motivation for the introduction </w:t>
      </w:r>
      <w:r w:rsidR="00EA1B47" w:rsidRPr="00290AB9">
        <w:rPr>
          <w:rFonts w:asciiTheme="minorHAnsi" w:hAnsiTheme="minorHAnsi" w:cstheme="minorHAnsi"/>
          <w:color w:val="222222"/>
          <w:sz w:val="22"/>
          <w:szCs w:val="22"/>
        </w:rPr>
        <w:t xml:space="preserve">of </w:t>
      </w:r>
      <w:r w:rsidR="00016723">
        <w:rPr>
          <w:rFonts w:asciiTheme="minorHAnsi" w:hAnsiTheme="minorHAnsi" w:cstheme="minorHAnsi"/>
          <w:color w:val="222222"/>
          <w:sz w:val="22"/>
          <w:szCs w:val="22"/>
        </w:rPr>
        <w:t>inclusion of fund managers</w:t>
      </w:r>
      <w:r w:rsidR="0080082C">
        <w:rPr>
          <w:rFonts w:asciiTheme="minorHAnsi" w:hAnsiTheme="minorHAnsi" w:cstheme="minorHAnsi"/>
          <w:color w:val="222222"/>
          <w:sz w:val="22"/>
          <w:szCs w:val="22"/>
        </w:rPr>
        <w:t xml:space="preserve"> and portfolio managers</w:t>
      </w:r>
      <w:r w:rsidR="00016723">
        <w:rPr>
          <w:rFonts w:asciiTheme="minorHAnsi" w:hAnsiTheme="minorHAnsi" w:cstheme="minorHAnsi"/>
          <w:color w:val="222222"/>
          <w:sz w:val="22"/>
          <w:szCs w:val="22"/>
        </w:rPr>
        <w:t xml:space="preserve"> in the free float assessment</w:t>
      </w:r>
      <w:r w:rsidR="00EA1B47" w:rsidRPr="00290AB9">
        <w:rPr>
          <w:rFonts w:asciiTheme="minorHAnsi" w:hAnsiTheme="minorHAnsi" w:cstheme="minorHAnsi"/>
          <w:color w:val="222222"/>
          <w:sz w:val="22"/>
          <w:szCs w:val="22"/>
        </w:rPr>
        <w:t>, please review the JSE Consultation Paper:</w:t>
      </w:r>
    </w:p>
    <w:p w14:paraId="7E9AB0F2" w14:textId="676E241F" w:rsidR="00083B2A" w:rsidRDefault="005E5F33" w:rsidP="007148F5">
      <w:pPr>
        <w:pStyle w:val="NormalWeb"/>
        <w:shd w:val="clear" w:color="auto" w:fill="FFFFFF"/>
        <w:spacing w:before="0" w:beforeAutospacing="0" w:after="240" w:afterAutospacing="0"/>
        <w:jc w:val="both"/>
        <w:textAlignment w:val="baseline"/>
        <w:rPr>
          <w:rFonts w:asciiTheme="minorHAnsi" w:hAnsiTheme="minorHAnsi" w:cstheme="minorHAnsi"/>
          <w:color w:val="222222"/>
          <w:sz w:val="22"/>
          <w:szCs w:val="22"/>
        </w:rPr>
      </w:pPr>
      <w:hyperlink r:id="rId8" w:history="1">
        <w:r w:rsidR="00083B2A" w:rsidRPr="00584EEB">
          <w:rPr>
            <w:rStyle w:val="Hyperlink"/>
            <w:rFonts w:asciiTheme="minorHAnsi" w:hAnsiTheme="minorHAnsi" w:cstheme="minorHAnsi"/>
            <w:sz w:val="22"/>
            <w:szCs w:val="22"/>
          </w:rPr>
          <w:t>https://www.jse.co.za/sites/default/files/media/documents//JSE%20Consultation%20Paper%20May%202022.pdf</w:t>
        </w:r>
      </w:hyperlink>
    </w:p>
    <w:p w14:paraId="41061B5E" w14:textId="77777777" w:rsidR="00094F1D" w:rsidRDefault="00094F1D" w:rsidP="00094F1D">
      <w:pPr>
        <w:spacing w:after="0" w:line="240" w:lineRule="auto"/>
        <w:jc w:val="both"/>
        <w:rPr>
          <w:rFonts w:cstheme="minorHAnsi"/>
        </w:rPr>
      </w:pPr>
    </w:p>
    <w:p w14:paraId="20906300" w14:textId="77777777" w:rsidR="00094F1D" w:rsidRPr="00094F1D" w:rsidRDefault="00094F1D" w:rsidP="00094F1D">
      <w:pPr>
        <w:rPr>
          <w:rFonts w:cstheme="minorHAnsi"/>
          <w:b/>
          <w:bCs/>
        </w:rPr>
      </w:pPr>
      <w:r w:rsidRPr="00094F1D">
        <w:rPr>
          <w:rFonts w:cstheme="minorHAnsi"/>
          <w:b/>
          <w:bCs/>
        </w:rPr>
        <w:t>Part A: Weighted Voting Share Structures</w:t>
      </w:r>
    </w:p>
    <w:p w14:paraId="38BF6646" w14:textId="2A2637A1" w:rsidR="00094F1D" w:rsidRDefault="00094F1D" w:rsidP="00094F1D">
      <w:pPr>
        <w:spacing w:after="0" w:line="240" w:lineRule="auto"/>
        <w:jc w:val="both"/>
        <w:rPr>
          <w:rFonts w:cstheme="minorHAnsi"/>
        </w:rPr>
      </w:pPr>
      <w:r>
        <w:rPr>
          <w:rFonts w:cstheme="minorHAnsi"/>
        </w:rPr>
        <w:t>The JSE will introduce its dual class shares offering as “</w:t>
      </w:r>
      <w:r w:rsidRPr="000B3B28">
        <w:rPr>
          <w:rFonts w:cstheme="minorHAnsi"/>
          <w:i/>
          <w:iCs/>
        </w:rPr>
        <w:t>weighted voting shares</w:t>
      </w:r>
      <w:r>
        <w:rPr>
          <w:rFonts w:cstheme="minorHAnsi"/>
        </w:rPr>
        <w:t>”.</w:t>
      </w:r>
    </w:p>
    <w:p w14:paraId="21C36A4B" w14:textId="77777777" w:rsidR="00094F1D" w:rsidRDefault="00094F1D" w:rsidP="00094F1D">
      <w:pPr>
        <w:spacing w:after="0" w:line="240" w:lineRule="auto"/>
        <w:jc w:val="both"/>
        <w:rPr>
          <w:rFonts w:cstheme="minorHAnsi"/>
        </w:rPr>
      </w:pPr>
    </w:p>
    <w:p w14:paraId="60D17112" w14:textId="77777777" w:rsidR="00094F1D" w:rsidRPr="00290AB9" w:rsidRDefault="00094F1D" w:rsidP="00094F1D">
      <w:pPr>
        <w:spacing w:after="0" w:line="240" w:lineRule="auto"/>
        <w:jc w:val="both"/>
        <w:rPr>
          <w:rFonts w:cstheme="minorHAnsi"/>
          <w:color w:val="222222"/>
        </w:rPr>
      </w:pPr>
      <w:r>
        <w:rPr>
          <w:rFonts w:cstheme="minorHAnsi"/>
          <w:color w:val="222222"/>
        </w:rPr>
        <w:t>T</w:t>
      </w:r>
      <w:r w:rsidRPr="0031067E">
        <w:rPr>
          <w:rFonts w:cstheme="minorHAnsi"/>
          <w:color w:val="222222"/>
        </w:rPr>
        <w:t>he JSE is</w:t>
      </w:r>
      <w:r w:rsidRPr="00290AB9">
        <w:rPr>
          <w:rFonts w:cstheme="minorHAnsi"/>
          <w:color w:val="222222"/>
        </w:rPr>
        <w:t xml:space="preserve"> proposing to amend the JSE Listings Requirements (the “</w:t>
      </w:r>
      <w:r w:rsidRPr="00290AB9">
        <w:rPr>
          <w:rFonts w:cstheme="minorHAnsi"/>
          <w:b/>
          <w:bCs/>
          <w:color w:val="222222"/>
        </w:rPr>
        <w:t>Requirements</w:t>
      </w:r>
      <w:r w:rsidRPr="00290AB9">
        <w:rPr>
          <w:rFonts w:cstheme="minorHAnsi"/>
          <w:color w:val="222222"/>
        </w:rPr>
        <w:t xml:space="preserve">”) to allow companies with </w:t>
      </w:r>
      <w:r w:rsidRPr="00290AB9">
        <w:rPr>
          <w:rFonts w:cstheme="minorHAnsi"/>
        </w:rPr>
        <w:t>weighted voting shares</w:t>
      </w:r>
      <w:r w:rsidRPr="00290AB9">
        <w:rPr>
          <w:rFonts w:cstheme="minorHAnsi"/>
          <w:color w:val="222222"/>
        </w:rPr>
        <w:t xml:space="preserve"> structures, that meet existing Main Board entry criteria, to list on the JSE. </w:t>
      </w:r>
    </w:p>
    <w:p w14:paraId="5DEBB7B9" w14:textId="77777777" w:rsidR="00094F1D" w:rsidRPr="00290AB9" w:rsidRDefault="00094F1D" w:rsidP="00094F1D">
      <w:pPr>
        <w:spacing w:after="0" w:line="240" w:lineRule="auto"/>
        <w:jc w:val="both"/>
        <w:rPr>
          <w:rFonts w:cstheme="minorHAnsi"/>
        </w:rPr>
      </w:pPr>
    </w:p>
    <w:p w14:paraId="6A48E49D" w14:textId="77777777" w:rsidR="00094F1D" w:rsidRPr="0031067E" w:rsidRDefault="00094F1D" w:rsidP="00094F1D">
      <w:pPr>
        <w:spacing w:after="0" w:line="240" w:lineRule="auto"/>
        <w:jc w:val="both"/>
        <w:rPr>
          <w:rFonts w:cstheme="minorHAnsi"/>
        </w:rPr>
      </w:pPr>
      <w:r>
        <w:rPr>
          <w:rFonts w:cstheme="minorHAnsi"/>
        </w:rPr>
        <w:t>In brief, t</w:t>
      </w:r>
      <w:r w:rsidRPr="0031067E">
        <w:rPr>
          <w:rFonts w:cstheme="minorHAnsi"/>
        </w:rPr>
        <w:t xml:space="preserve">he use of </w:t>
      </w:r>
      <w:r>
        <w:rPr>
          <w:rFonts w:cstheme="minorHAnsi"/>
          <w:color w:val="222222"/>
        </w:rPr>
        <w:t xml:space="preserve">dual class share structures </w:t>
      </w:r>
      <w:r w:rsidRPr="0031067E">
        <w:rPr>
          <w:rFonts w:cstheme="minorHAnsi"/>
        </w:rPr>
        <w:t>is varied across different countries:</w:t>
      </w:r>
    </w:p>
    <w:p w14:paraId="09774656" w14:textId="77777777" w:rsidR="00094F1D" w:rsidRPr="0031067E" w:rsidRDefault="00094F1D" w:rsidP="00094F1D">
      <w:pPr>
        <w:spacing w:after="0" w:line="240" w:lineRule="auto"/>
        <w:jc w:val="both"/>
        <w:rPr>
          <w:rFonts w:cstheme="minorHAnsi"/>
        </w:rPr>
      </w:pPr>
    </w:p>
    <w:p w14:paraId="3FD208EA" w14:textId="77777777" w:rsidR="00094F1D" w:rsidRPr="00855246" w:rsidRDefault="00094F1D" w:rsidP="00094F1D">
      <w:pPr>
        <w:pStyle w:val="ListParagraph"/>
        <w:numPr>
          <w:ilvl w:val="0"/>
          <w:numId w:val="1"/>
        </w:numPr>
        <w:spacing w:line="240" w:lineRule="auto"/>
        <w:jc w:val="both"/>
        <w:rPr>
          <w:rFonts w:asciiTheme="minorHAnsi" w:hAnsiTheme="minorHAnsi" w:cstheme="minorHAnsi"/>
          <w:sz w:val="22"/>
          <w:szCs w:val="22"/>
        </w:rPr>
      </w:pPr>
      <w:r w:rsidRPr="00855246">
        <w:rPr>
          <w:rFonts w:asciiTheme="minorHAnsi" w:hAnsiTheme="minorHAnsi" w:cstheme="minorHAnsi"/>
          <w:sz w:val="22"/>
          <w:szCs w:val="22"/>
        </w:rPr>
        <w:t xml:space="preserve">The New York Stock Exchange, the Nasdaq Stock Market, Toronto Stock Exchange and Nasdaq OMX Stockholm permit listed companies to adopt dual class share </w:t>
      </w:r>
      <w:proofErr w:type="gramStart"/>
      <w:r w:rsidRPr="00855246">
        <w:rPr>
          <w:rFonts w:asciiTheme="minorHAnsi" w:hAnsiTheme="minorHAnsi" w:cstheme="minorHAnsi"/>
          <w:sz w:val="22"/>
          <w:szCs w:val="22"/>
        </w:rPr>
        <w:t>structures;</w:t>
      </w:r>
      <w:proofErr w:type="gramEnd"/>
    </w:p>
    <w:p w14:paraId="77ACD145" w14:textId="77777777" w:rsidR="00094F1D" w:rsidRPr="00855246" w:rsidRDefault="00094F1D" w:rsidP="00094F1D">
      <w:pPr>
        <w:pStyle w:val="ListParagraph"/>
        <w:numPr>
          <w:ilvl w:val="0"/>
          <w:numId w:val="1"/>
        </w:numPr>
        <w:spacing w:line="240" w:lineRule="auto"/>
        <w:jc w:val="both"/>
        <w:rPr>
          <w:rFonts w:asciiTheme="minorHAnsi" w:hAnsiTheme="minorHAnsi" w:cstheme="minorHAnsi"/>
          <w:sz w:val="22"/>
          <w:szCs w:val="22"/>
        </w:rPr>
      </w:pPr>
      <w:r w:rsidRPr="00855246">
        <w:rPr>
          <w:rFonts w:asciiTheme="minorHAnsi" w:hAnsiTheme="minorHAnsi" w:cstheme="minorHAnsi"/>
          <w:sz w:val="22"/>
          <w:szCs w:val="22"/>
        </w:rPr>
        <w:lastRenderedPageBreak/>
        <w:t xml:space="preserve">Europe does not yet have a universal application for dual class share structures. They are however allowed under company laws in Denmark, Finland, France, Italy, Ireland and Sweden but are not allowed in Germany, Portugal and </w:t>
      </w:r>
      <w:proofErr w:type="gramStart"/>
      <w:r w:rsidRPr="00855246">
        <w:rPr>
          <w:rFonts w:asciiTheme="minorHAnsi" w:hAnsiTheme="minorHAnsi" w:cstheme="minorHAnsi"/>
          <w:sz w:val="22"/>
          <w:szCs w:val="22"/>
        </w:rPr>
        <w:t>Spain;</w:t>
      </w:r>
      <w:proofErr w:type="gramEnd"/>
    </w:p>
    <w:p w14:paraId="3BE54338" w14:textId="77777777" w:rsidR="00094F1D" w:rsidRPr="00855246" w:rsidRDefault="00094F1D" w:rsidP="00094F1D">
      <w:pPr>
        <w:pStyle w:val="ListParagraph"/>
        <w:numPr>
          <w:ilvl w:val="0"/>
          <w:numId w:val="1"/>
        </w:numPr>
        <w:spacing w:line="240" w:lineRule="auto"/>
        <w:jc w:val="both"/>
        <w:rPr>
          <w:rFonts w:asciiTheme="minorHAnsi" w:hAnsiTheme="minorHAnsi" w:cstheme="minorHAnsi"/>
          <w:sz w:val="22"/>
          <w:szCs w:val="22"/>
        </w:rPr>
      </w:pPr>
      <w:r w:rsidRPr="00855246">
        <w:rPr>
          <w:rFonts w:asciiTheme="minorHAnsi" w:hAnsiTheme="minorHAnsi" w:cstheme="minorHAnsi"/>
          <w:sz w:val="22"/>
          <w:szCs w:val="22"/>
        </w:rPr>
        <w:t>In 2018 both the Hong Kong</w:t>
      </w:r>
      <w:r>
        <w:rPr>
          <w:rFonts w:asciiTheme="minorHAnsi" w:hAnsiTheme="minorHAnsi" w:cstheme="minorHAnsi"/>
          <w:sz w:val="22"/>
          <w:szCs w:val="22"/>
        </w:rPr>
        <w:t xml:space="preserve"> Stock Exchange </w:t>
      </w:r>
      <w:r w:rsidRPr="00855246">
        <w:rPr>
          <w:rFonts w:asciiTheme="minorHAnsi" w:hAnsiTheme="minorHAnsi" w:cstheme="minorHAnsi"/>
          <w:sz w:val="22"/>
          <w:szCs w:val="22"/>
        </w:rPr>
        <w:t>(“</w:t>
      </w:r>
      <w:r w:rsidRPr="00855246">
        <w:rPr>
          <w:rFonts w:asciiTheme="minorHAnsi" w:hAnsiTheme="minorHAnsi" w:cstheme="minorHAnsi"/>
          <w:b/>
          <w:bCs/>
          <w:sz w:val="22"/>
          <w:szCs w:val="22"/>
        </w:rPr>
        <w:t>HKEX</w:t>
      </w:r>
      <w:r w:rsidRPr="00855246">
        <w:rPr>
          <w:rFonts w:asciiTheme="minorHAnsi" w:hAnsiTheme="minorHAnsi" w:cstheme="minorHAnsi"/>
          <w:sz w:val="22"/>
          <w:szCs w:val="22"/>
        </w:rPr>
        <w:t>”) and Singapore Stock Exchange (“</w:t>
      </w:r>
      <w:r w:rsidRPr="00855246">
        <w:rPr>
          <w:rFonts w:asciiTheme="minorHAnsi" w:hAnsiTheme="minorHAnsi" w:cstheme="minorHAnsi"/>
          <w:b/>
          <w:bCs/>
          <w:sz w:val="22"/>
          <w:szCs w:val="22"/>
        </w:rPr>
        <w:t>SGX</w:t>
      </w:r>
      <w:r w:rsidRPr="00855246">
        <w:rPr>
          <w:rFonts w:asciiTheme="minorHAnsi" w:hAnsiTheme="minorHAnsi" w:cstheme="minorHAnsi"/>
          <w:sz w:val="22"/>
          <w:szCs w:val="22"/>
        </w:rPr>
        <w:t>”) revised their listing rules within months of each other to permit the listing of companies with dual class or weighted voting right shares and in 2019 the Shanghai Exchange launched a new board that permitted dual class share structures; and</w:t>
      </w:r>
    </w:p>
    <w:p w14:paraId="65509E9F" w14:textId="77777777" w:rsidR="00094F1D" w:rsidRPr="00855246" w:rsidRDefault="00094F1D" w:rsidP="00094F1D">
      <w:pPr>
        <w:pStyle w:val="ListParagraph"/>
        <w:numPr>
          <w:ilvl w:val="0"/>
          <w:numId w:val="1"/>
        </w:numPr>
        <w:spacing w:line="240" w:lineRule="auto"/>
        <w:jc w:val="both"/>
        <w:rPr>
          <w:rFonts w:asciiTheme="minorHAnsi" w:hAnsiTheme="minorHAnsi" w:cstheme="minorHAnsi"/>
          <w:sz w:val="22"/>
          <w:szCs w:val="22"/>
        </w:rPr>
      </w:pPr>
      <w:r w:rsidRPr="00855246">
        <w:rPr>
          <w:rFonts w:asciiTheme="minorHAnsi" w:hAnsiTheme="minorHAnsi" w:cstheme="minorHAnsi"/>
          <w:sz w:val="22"/>
          <w:szCs w:val="22"/>
        </w:rPr>
        <w:t>The UK listing rules for the premium segment have for long supported the proportionality principle (i.e., voting power should be broadly proportionate to economic interest) and dual class share structures could only list on the Standard Segment of the London Stock Exchange (“</w:t>
      </w:r>
      <w:r w:rsidRPr="00855246">
        <w:rPr>
          <w:rFonts w:asciiTheme="minorHAnsi" w:hAnsiTheme="minorHAnsi" w:cstheme="minorHAnsi"/>
          <w:b/>
          <w:bCs/>
          <w:sz w:val="22"/>
          <w:szCs w:val="22"/>
        </w:rPr>
        <w:t>LSE</w:t>
      </w:r>
      <w:r w:rsidRPr="00855246">
        <w:rPr>
          <w:rFonts w:asciiTheme="minorHAnsi" w:hAnsiTheme="minorHAnsi" w:cstheme="minorHAnsi"/>
          <w:sz w:val="22"/>
          <w:szCs w:val="22"/>
        </w:rPr>
        <w:t xml:space="preserve">”). However, following the recent publication of the UK Listings Review Report and the EU Report, both the UK and EU have turned </w:t>
      </w:r>
      <w:proofErr w:type="spellStart"/>
      <w:r w:rsidRPr="00855246">
        <w:rPr>
          <w:rFonts w:asciiTheme="minorHAnsi" w:hAnsiTheme="minorHAnsi" w:cstheme="minorHAnsi"/>
          <w:sz w:val="22"/>
          <w:szCs w:val="22"/>
        </w:rPr>
        <w:t>favourably</w:t>
      </w:r>
      <w:proofErr w:type="spellEnd"/>
      <w:r w:rsidRPr="00855246">
        <w:rPr>
          <w:rFonts w:asciiTheme="minorHAnsi" w:hAnsiTheme="minorHAnsi" w:cstheme="minorHAnsi"/>
          <w:sz w:val="22"/>
          <w:szCs w:val="22"/>
        </w:rPr>
        <w:t xml:space="preserve"> to the listing of dual class share structures. </w:t>
      </w:r>
    </w:p>
    <w:p w14:paraId="60E22D73" w14:textId="77777777" w:rsidR="00094F1D" w:rsidRPr="00855246" w:rsidRDefault="00094F1D" w:rsidP="00094F1D">
      <w:pPr>
        <w:spacing w:after="0" w:line="240" w:lineRule="auto"/>
        <w:jc w:val="both"/>
        <w:rPr>
          <w:rFonts w:cstheme="minorHAnsi"/>
        </w:rPr>
      </w:pPr>
    </w:p>
    <w:p w14:paraId="5FF68000" w14:textId="77777777" w:rsidR="00094F1D" w:rsidRPr="0031067E" w:rsidRDefault="00094F1D" w:rsidP="00094F1D">
      <w:pPr>
        <w:spacing w:after="0" w:line="240" w:lineRule="auto"/>
        <w:jc w:val="both"/>
        <w:rPr>
          <w:rFonts w:cstheme="minorHAnsi"/>
        </w:rPr>
      </w:pPr>
      <w:r w:rsidRPr="0031067E">
        <w:rPr>
          <w:rFonts w:cstheme="minorHAnsi"/>
        </w:rPr>
        <w:t>The LSE announced the application of the rules for the Premium Segment with effect from 3 December 2021</w:t>
      </w:r>
      <w:r w:rsidRPr="0031067E">
        <w:rPr>
          <w:rStyle w:val="FootnoteReference"/>
          <w:rFonts w:cstheme="minorHAnsi"/>
        </w:rPr>
        <w:footnoteReference w:id="2"/>
      </w:r>
      <w:r w:rsidRPr="0031067E">
        <w:rPr>
          <w:rFonts w:cstheme="minorHAnsi"/>
        </w:rPr>
        <w:t>, to encourage innovative, often founder-led companies, onto public markets sooner. In line with the recommendations by Lord Hill, dual class shares</w:t>
      </w:r>
      <w:r>
        <w:rPr>
          <w:rFonts w:cstheme="minorHAnsi"/>
        </w:rPr>
        <w:t xml:space="preserve"> structures</w:t>
      </w:r>
      <w:r w:rsidRPr="0031067E">
        <w:rPr>
          <w:rFonts w:cstheme="minorHAnsi"/>
        </w:rPr>
        <w:t xml:space="preserve"> will only be permitted where the weighted voting rights meet the following conditions:</w:t>
      </w:r>
    </w:p>
    <w:p w14:paraId="0E995712" w14:textId="77777777" w:rsidR="00094F1D" w:rsidRPr="0031067E" w:rsidRDefault="00094F1D" w:rsidP="00094F1D">
      <w:pPr>
        <w:pStyle w:val="ListParagraph"/>
        <w:numPr>
          <w:ilvl w:val="0"/>
          <w:numId w:val="2"/>
        </w:numPr>
        <w:shd w:val="clear" w:color="auto" w:fill="FFFFFF"/>
        <w:spacing w:before="100" w:beforeAutospacing="1" w:after="100" w:afterAutospacing="1" w:line="240" w:lineRule="auto"/>
        <w:jc w:val="both"/>
        <w:rPr>
          <w:rFonts w:asciiTheme="minorHAnsi" w:hAnsiTheme="minorHAnsi" w:cstheme="minorHAnsi"/>
          <w:sz w:val="22"/>
          <w:szCs w:val="22"/>
        </w:rPr>
      </w:pPr>
      <w:r w:rsidRPr="0031067E">
        <w:rPr>
          <w:rFonts w:asciiTheme="minorHAnsi" w:hAnsiTheme="minorHAnsi" w:cstheme="minorHAnsi"/>
          <w:sz w:val="22"/>
          <w:szCs w:val="22"/>
        </w:rPr>
        <w:t>A maximum weighted voting ratio of 20:</w:t>
      </w:r>
      <w:proofErr w:type="gramStart"/>
      <w:r w:rsidRPr="0031067E">
        <w:rPr>
          <w:rFonts w:asciiTheme="minorHAnsi" w:hAnsiTheme="minorHAnsi" w:cstheme="minorHAnsi"/>
          <w:sz w:val="22"/>
          <w:szCs w:val="22"/>
        </w:rPr>
        <w:t>1;</w:t>
      </w:r>
      <w:proofErr w:type="gramEnd"/>
    </w:p>
    <w:p w14:paraId="2BAE0390" w14:textId="77777777" w:rsidR="00094F1D" w:rsidRPr="0031067E" w:rsidRDefault="00094F1D" w:rsidP="00094F1D">
      <w:pPr>
        <w:numPr>
          <w:ilvl w:val="0"/>
          <w:numId w:val="2"/>
        </w:numPr>
        <w:shd w:val="clear" w:color="auto" w:fill="FFFFFF"/>
        <w:spacing w:before="100" w:beforeAutospacing="1" w:after="100" w:afterAutospacing="1" w:line="240" w:lineRule="auto"/>
        <w:jc w:val="both"/>
        <w:rPr>
          <w:rFonts w:cstheme="minorHAnsi"/>
        </w:rPr>
      </w:pPr>
      <w:r w:rsidRPr="0031067E">
        <w:rPr>
          <w:rFonts w:cstheme="minorHAnsi"/>
        </w:rPr>
        <w:t>May only be held by directors of the company or beneficiaries of such director’s estate; and</w:t>
      </w:r>
    </w:p>
    <w:p w14:paraId="4DCB83BA" w14:textId="77777777" w:rsidR="00094F1D" w:rsidRPr="0031067E" w:rsidRDefault="00094F1D" w:rsidP="00094F1D">
      <w:pPr>
        <w:numPr>
          <w:ilvl w:val="0"/>
          <w:numId w:val="2"/>
        </w:numPr>
        <w:shd w:val="clear" w:color="auto" w:fill="FFFFFF"/>
        <w:spacing w:before="100" w:beforeAutospacing="1" w:after="100" w:afterAutospacing="1" w:line="240" w:lineRule="auto"/>
        <w:jc w:val="both"/>
        <w:rPr>
          <w:rFonts w:cstheme="minorHAnsi"/>
        </w:rPr>
      </w:pPr>
      <w:r w:rsidRPr="0031067E">
        <w:rPr>
          <w:rFonts w:cstheme="minorHAnsi"/>
        </w:rPr>
        <w:t>Conversion to ordinary premium listed shares upon transfer to anyone other than a beneficiary of such director.</w:t>
      </w:r>
    </w:p>
    <w:p w14:paraId="13895D4D" w14:textId="77777777" w:rsidR="00094F1D" w:rsidRDefault="00094F1D" w:rsidP="00094F1D">
      <w:pPr>
        <w:spacing w:after="0" w:line="240" w:lineRule="auto"/>
        <w:jc w:val="both"/>
        <w:rPr>
          <w:rFonts w:cstheme="minorHAnsi"/>
        </w:rPr>
      </w:pPr>
      <w:r w:rsidRPr="0031067E">
        <w:rPr>
          <w:rFonts w:cstheme="minorHAnsi"/>
        </w:rPr>
        <w:t xml:space="preserve">The new rules adopted by the HKEX, SGX and LSE attempt to reach a middle ground, permitting listing flexibility for high-growth companies while mitigating the governance risks associated with </w:t>
      </w:r>
      <w:r>
        <w:rPr>
          <w:rFonts w:cstheme="minorHAnsi"/>
        </w:rPr>
        <w:t>dual class share</w:t>
      </w:r>
      <w:r w:rsidRPr="0031067E">
        <w:rPr>
          <w:rFonts w:cstheme="minorHAnsi"/>
        </w:rPr>
        <w:t xml:space="preserve"> structures.</w:t>
      </w:r>
    </w:p>
    <w:p w14:paraId="17CD0793" w14:textId="77777777" w:rsidR="00094F1D" w:rsidRDefault="00094F1D" w:rsidP="00094F1D">
      <w:pPr>
        <w:spacing w:after="0" w:line="240" w:lineRule="auto"/>
        <w:jc w:val="both"/>
        <w:rPr>
          <w:rFonts w:cstheme="minorHAnsi"/>
          <w:b/>
          <w:bCs/>
        </w:rPr>
      </w:pPr>
    </w:p>
    <w:p w14:paraId="2FA85983" w14:textId="77777777" w:rsidR="00094F1D" w:rsidRPr="007334B0" w:rsidRDefault="00094F1D" w:rsidP="00094F1D">
      <w:pPr>
        <w:spacing w:after="0" w:line="240" w:lineRule="auto"/>
        <w:jc w:val="both"/>
        <w:rPr>
          <w:rFonts w:cstheme="minorHAnsi"/>
          <w:u w:val="single"/>
        </w:rPr>
      </w:pPr>
      <w:r w:rsidRPr="007334B0">
        <w:rPr>
          <w:rFonts w:cstheme="minorHAnsi"/>
          <w:u w:val="single"/>
        </w:rPr>
        <w:t>JSE Safeguards</w:t>
      </w:r>
    </w:p>
    <w:p w14:paraId="687EB886" w14:textId="77777777" w:rsidR="00094F1D" w:rsidRDefault="00094F1D" w:rsidP="00094F1D">
      <w:pPr>
        <w:spacing w:after="0" w:line="240" w:lineRule="auto"/>
        <w:jc w:val="both"/>
        <w:rPr>
          <w:rFonts w:cstheme="minorHAnsi"/>
          <w:b/>
          <w:bCs/>
        </w:rPr>
      </w:pPr>
    </w:p>
    <w:p w14:paraId="6079E6E3" w14:textId="77777777" w:rsidR="00094F1D" w:rsidRPr="00160524" w:rsidRDefault="00094F1D" w:rsidP="00094F1D">
      <w:pPr>
        <w:spacing w:after="0" w:line="240" w:lineRule="auto"/>
        <w:jc w:val="both"/>
        <w:rPr>
          <w:rFonts w:cstheme="minorHAnsi"/>
        </w:rPr>
      </w:pPr>
      <w:r>
        <w:rPr>
          <w:rFonts w:cstheme="minorHAnsi"/>
        </w:rPr>
        <w:t>The various governance concerns in respect of weighted</w:t>
      </w:r>
      <w:r w:rsidRPr="00F43FEE">
        <w:rPr>
          <w:rFonts w:cstheme="minorHAnsi"/>
        </w:rPr>
        <w:t xml:space="preserve"> voting shares</w:t>
      </w:r>
      <w:r>
        <w:rPr>
          <w:rFonts w:cstheme="minorHAnsi"/>
        </w:rPr>
        <w:t xml:space="preserve"> must be acknowledged and because of that, high/low voting shares have been precluded from the JSE for many years. </w:t>
      </w:r>
    </w:p>
    <w:p w14:paraId="3F9B761F" w14:textId="77777777" w:rsidR="00094F1D" w:rsidRPr="00F43FEE" w:rsidRDefault="00094F1D" w:rsidP="00094F1D">
      <w:pPr>
        <w:spacing w:after="0" w:line="240" w:lineRule="auto"/>
        <w:jc w:val="both"/>
        <w:rPr>
          <w:rFonts w:cstheme="minorHAnsi"/>
          <w:b/>
          <w:bCs/>
        </w:rPr>
      </w:pPr>
    </w:p>
    <w:p w14:paraId="4A0F4D11" w14:textId="77777777" w:rsidR="00094F1D" w:rsidRDefault="00094F1D" w:rsidP="00094F1D">
      <w:pPr>
        <w:spacing w:after="0" w:line="240" w:lineRule="auto"/>
        <w:jc w:val="both"/>
        <w:rPr>
          <w:rFonts w:cstheme="minorHAnsi"/>
        </w:rPr>
      </w:pPr>
      <w:r>
        <w:rPr>
          <w:rFonts w:cstheme="minorHAnsi"/>
        </w:rPr>
        <w:t xml:space="preserve">In order to address these governance concerns, the JSE is proposing key governance arrangements as a listing entry </w:t>
      </w:r>
      <w:proofErr w:type="gramStart"/>
      <w:r>
        <w:rPr>
          <w:rFonts w:cstheme="minorHAnsi"/>
        </w:rPr>
        <w:t>criteria</w:t>
      </w:r>
      <w:proofErr w:type="gramEnd"/>
      <w:r>
        <w:rPr>
          <w:rFonts w:cstheme="minorHAnsi"/>
        </w:rPr>
        <w:t>. The safeguards that have been proposed follow markets such as the SGX, HKEX and LSE. These measures are very current and date from 2018, thus in touch with international current thinking on weighted</w:t>
      </w:r>
      <w:r w:rsidRPr="00F43FEE">
        <w:rPr>
          <w:rFonts w:cstheme="minorHAnsi"/>
        </w:rPr>
        <w:t xml:space="preserve"> voting shares</w:t>
      </w:r>
      <w:r>
        <w:rPr>
          <w:rFonts w:cstheme="minorHAnsi"/>
        </w:rPr>
        <w:t>.</w:t>
      </w:r>
    </w:p>
    <w:p w14:paraId="480C5BCB" w14:textId="77777777" w:rsidR="00094F1D" w:rsidRDefault="00094F1D" w:rsidP="00094F1D">
      <w:pPr>
        <w:spacing w:after="0" w:line="240" w:lineRule="auto"/>
        <w:jc w:val="both"/>
        <w:rPr>
          <w:rFonts w:cstheme="minorHAnsi"/>
        </w:rPr>
      </w:pPr>
    </w:p>
    <w:p w14:paraId="1D2A53B0" w14:textId="77777777" w:rsidR="00094F1D" w:rsidRPr="00F43FEE" w:rsidRDefault="00094F1D" w:rsidP="00094F1D">
      <w:pPr>
        <w:spacing w:after="0" w:line="240" w:lineRule="auto"/>
        <w:jc w:val="both"/>
        <w:rPr>
          <w:rFonts w:cstheme="minorHAnsi"/>
        </w:rPr>
      </w:pPr>
      <w:r w:rsidRPr="00F43FEE">
        <w:rPr>
          <w:rFonts w:cstheme="minorHAnsi"/>
        </w:rPr>
        <w:lastRenderedPageBreak/>
        <w:t>As a starting point</w:t>
      </w:r>
      <w:r>
        <w:rPr>
          <w:rFonts w:cstheme="minorHAnsi"/>
        </w:rPr>
        <w:t>,</w:t>
      </w:r>
      <w:r w:rsidRPr="00F43FEE">
        <w:rPr>
          <w:rFonts w:cstheme="minorHAnsi"/>
        </w:rPr>
        <w:t xml:space="preserve"> the JSE </w:t>
      </w:r>
      <w:r>
        <w:rPr>
          <w:rFonts w:cstheme="minorHAnsi"/>
        </w:rPr>
        <w:t>will propose a bespoke</w:t>
      </w:r>
      <w:r w:rsidRPr="00F43FEE">
        <w:rPr>
          <w:rFonts w:cstheme="minorHAnsi"/>
        </w:rPr>
        <w:t xml:space="preserve"> enhanced voting process on certain items where all shares, including the </w:t>
      </w:r>
      <w:r>
        <w:rPr>
          <w:rFonts w:cstheme="minorHAnsi"/>
        </w:rPr>
        <w:t>weighted</w:t>
      </w:r>
      <w:r w:rsidRPr="00F43FEE">
        <w:rPr>
          <w:rFonts w:cstheme="minorHAnsi"/>
        </w:rPr>
        <w:t xml:space="preserve"> voting shares</w:t>
      </w:r>
      <w:r>
        <w:rPr>
          <w:rFonts w:cstheme="minorHAnsi"/>
        </w:rPr>
        <w:t xml:space="preserve">, </w:t>
      </w:r>
      <w:r w:rsidRPr="00F43FEE">
        <w:rPr>
          <w:rFonts w:cstheme="minorHAnsi"/>
        </w:rPr>
        <w:t xml:space="preserve">carry one vote per share. These items are - </w:t>
      </w:r>
    </w:p>
    <w:p w14:paraId="7BD951B6" w14:textId="77777777" w:rsidR="00094F1D" w:rsidRPr="00F43FEE" w:rsidRDefault="00094F1D" w:rsidP="00094F1D">
      <w:pPr>
        <w:pStyle w:val="a-000"/>
        <w:numPr>
          <w:ilvl w:val="0"/>
          <w:numId w:val="3"/>
        </w:numPr>
        <w:rPr>
          <w:rFonts w:asciiTheme="minorHAnsi" w:hAnsiTheme="minorHAnsi" w:cstheme="minorHAnsi"/>
          <w:szCs w:val="22"/>
        </w:rPr>
      </w:pPr>
      <w:r w:rsidRPr="00F43FEE">
        <w:rPr>
          <w:rFonts w:asciiTheme="minorHAnsi" w:hAnsiTheme="minorHAnsi" w:cstheme="minorHAnsi"/>
          <w:szCs w:val="22"/>
        </w:rPr>
        <w:t>variation of rights attaching to securities.</w:t>
      </w:r>
    </w:p>
    <w:p w14:paraId="5B20BDF5" w14:textId="77777777" w:rsidR="00094F1D" w:rsidRPr="00F43FEE" w:rsidRDefault="00094F1D" w:rsidP="00094F1D">
      <w:pPr>
        <w:pStyle w:val="a-000"/>
        <w:numPr>
          <w:ilvl w:val="0"/>
          <w:numId w:val="3"/>
        </w:numPr>
        <w:rPr>
          <w:rFonts w:asciiTheme="minorHAnsi" w:hAnsiTheme="minorHAnsi" w:cstheme="minorHAnsi"/>
          <w:szCs w:val="22"/>
        </w:rPr>
      </w:pPr>
      <w:r w:rsidRPr="00F43FEE">
        <w:rPr>
          <w:rFonts w:asciiTheme="minorHAnsi" w:hAnsiTheme="minorHAnsi" w:cstheme="minorHAnsi"/>
          <w:szCs w:val="22"/>
        </w:rPr>
        <w:t xml:space="preserve">appointment and removal of </w:t>
      </w:r>
      <w:proofErr w:type="gramStart"/>
      <w:r w:rsidRPr="00F43FEE">
        <w:rPr>
          <w:rFonts w:asciiTheme="minorHAnsi" w:hAnsiTheme="minorHAnsi" w:cstheme="minorHAnsi"/>
          <w:szCs w:val="22"/>
        </w:rPr>
        <w:t>auditors;</w:t>
      </w:r>
      <w:proofErr w:type="gramEnd"/>
    </w:p>
    <w:p w14:paraId="1224502D" w14:textId="77777777" w:rsidR="00094F1D" w:rsidRDefault="00094F1D" w:rsidP="00094F1D">
      <w:pPr>
        <w:pStyle w:val="a-000"/>
        <w:numPr>
          <w:ilvl w:val="0"/>
          <w:numId w:val="3"/>
        </w:numPr>
        <w:rPr>
          <w:rFonts w:asciiTheme="minorHAnsi" w:hAnsiTheme="minorHAnsi" w:cstheme="minorHAnsi"/>
          <w:szCs w:val="22"/>
        </w:rPr>
      </w:pPr>
      <w:r w:rsidRPr="00F43FEE">
        <w:rPr>
          <w:rFonts w:asciiTheme="minorHAnsi" w:hAnsiTheme="minorHAnsi" w:cstheme="minorHAnsi"/>
          <w:szCs w:val="22"/>
        </w:rPr>
        <w:t xml:space="preserve">appointment </w:t>
      </w:r>
      <w:r>
        <w:rPr>
          <w:rFonts w:asciiTheme="minorHAnsi" w:hAnsiTheme="minorHAnsi" w:cstheme="minorHAnsi"/>
          <w:szCs w:val="22"/>
        </w:rPr>
        <w:t xml:space="preserve">or removal </w:t>
      </w:r>
      <w:r w:rsidRPr="00F43FEE">
        <w:rPr>
          <w:rFonts w:asciiTheme="minorHAnsi" w:hAnsiTheme="minorHAnsi" w:cstheme="minorHAnsi"/>
          <w:szCs w:val="22"/>
        </w:rPr>
        <w:t xml:space="preserve">of independent non-executive </w:t>
      </w:r>
      <w:proofErr w:type="gramStart"/>
      <w:r w:rsidRPr="00F43FEE">
        <w:rPr>
          <w:rFonts w:asciiTheme="minorHAnsi" w:hAnsiTheme="minorHAnsi" w:cstheme="minorHAnsi"/>
          <w:szCs w:val="22"/>
        </w:rPr>
        <w:t>directors;</w:t>
      </w:r>
      <w:proofErr w:type="gramEnd"/>
      <w:r w:rsidRPr="00F43FEE">
        <w:rPr>
          <w:rFonts w:asciiTheme="minorHAnsi" w:hAnsiTheme="minorHAnsi" w:cstheme="minorHAnsi"/>
          <w:szCs w:val="22"/>
        </w:rPr>
        <w:t xml:space="preserve"> </w:t>
      </w:r>
    </w:p>
    <w:p w14:paraId="16247E9B" w14:textId="77777777" w:rsidR="00094F1D" w:rsidRDefault="00094F1D" w:rsidP="00094F1D">
      <w:pPr>
        <w:pStyle w:val="a-000"/>
        <w:numPr>
          <w:ilvl w:val="0"/>
          <w:numId w:val="3"/>
        </w:numPr>
        <w:rPr>
          <w:rFonts w:asciiTheme="minorHAnsi" w:hAnsiTheme="minorHAnsi" w:cstheme="minorHAnsi"/>
          <w:szCs w:val="22"/>
        </w:rPr>
      </w:pPr>
      <w:r>
        <w:rPr>
          <w:rFonts w:asciiTheme="minorHAnsi" w:hAnsiTheme="minorHAnsi" w:cstheme="minorHAnsi"/>
          <w:szCs w:val="22"/>
        </w:rPr>
        <w:t xml:space="preserve">remuneration policy and implementation report pursuant to paragraph </w:t>
      </w:r>
      <w:proofErr w:type="gramStart"/>
      <w:r>
        <w:rPr>
          <w:rFonts w:asciiTheme="minorHAnsi" w:hAnsiTheme="minorHAnsi" w:cstheme="minorHAnsi"/>
          <w:szCs w:val="22"/>
        </w:rPr>
        <w:t>3.84(j);</w:t>
      </w:r>
      <w:proofErr w:type="gramEnd"/>
      <w:r>
        <w:rPr>
          <w:rFonts w:asciiTheme="minorHAnsi" w:hAnsiTheme="minorHAnsi" w:cstheme="minorHAnsi"/>
          <w:szCs w:val="22"/>
        </w:rPr>
        <w:t xml:space="preserve"> </w:t>
      </w:r>
    </w:p>
    <w:p w14:paraId="1119B2E3" w14:textId="77777777" w:rsidR="00094F1D" w:rsidRPr="00F43FEE" w:rsidRDefault="00094F1D" w:rsidP="00094F1D">
      <w:pPr>
        <w:pStyle w:val="a-000"/>
        <w:numPr>
          <w:ilvl w:val="0"/>
          <w:numId w:val="3"/>
        </w:numPr>
        <w:rPr>
          <w:rFonts w:asciiTheme="minorHAnsi" w:hAnsiTheme="minorHAnsi" w:cstheme="minorHAnsi"/>
          <w:szCs w:val="22"/>
        </w:rPr>
      </w:pPr>
      <w:r>
        <w:rPr>
          <w:rFonts w:asciiTheme="minorHAnsi" w:hAnsiTheme="minorHAnsi" w:cstheme="minorHAnsi"/>
          <w:szCs w:val="22"/>
        </w:rPr>
        <w:t xml:space="preserve">reverse takeover; </w:t>
      </w:r>
      <w:r w:rsidRPr="00F43FEE">
        <w:rPr>
          <w:rFonts w:asciiTheme="minorHAnsi" w:hAnsiTheme="minorHAnsi" w:cstheme="minorHAnsi"/>
          <w:szCs w:val="22"/>
        </w:rPr>
        <w:t>and</w:t>
      </w:r>
    </w:p>
    <w:p w14:paraId="21F0793F" w14:textId="77777777" w:rsidR="00094F1D" w:rsidRPr="00F43FEE" w:rsidRDefault="00094F1D" w:rsidP="00094F1D">
      <w:pPr>
        <w:pStyle w:val="a-000"/>
        <w:numPr>
          <w:ilvl w:val="0"/>
          <w:numId w:val="3"/>
        </w:numPr>
        <w:rPr>
          <w:rFonts w:asciiTheme="minorHAnsi" w:hAnsiTheme="minorHAnsi" w:cstheme="minorHAnsi"/>
          <w:szCs w:val="22"/>
        </w:rPr>
      </w:pPr>
      <w:r w:rsidRPr="00F43FEE">
        <w:rPr>
          <w:rFonts w:asciiTheme="minorHAnsi" w:hAnsiTheme="minorHAnsi" w:cstheme="minorHAnsi"/>
          <w:szCs w:val="22"/>
        </w:rPr>
        <w:t>removal of listing.</w:t>
      </w:r>
    </w:p>
    <w:p w14:paraId="21682401" w14:textId="77777777" w:rsidR="00094F1D" w:rsidRDefault="00094F1D" w:rsidP="00094F1D">
      <w:pPr>
        <w:spacing w:after="0" w:line="240" w:lineRule="auto"/>
        <w:jc w:val="both"/>
        <w:rPr>
          <w:rFonts w:cstheme="minorHAnsi"/>
        </w:rPr>
      </w:pPr>
    </w:p>
    <w:p w14:paraId="333A0418" w14:textId="77777777" w:rsidR="00094F1D" w:rsidRDefault="00094F1D" w:rsidP="00094F1D">
      <w:pPr>
        <w:spacing w:after="0" w:line="240" w:lineRule="auto"/>
        <w:jc w:val="both"/>
        <w:rPr>
          <w:rFonts w:cstheme="minorHAnsi"/>
        </w:rPr>
      </w:pPr>
      <w:r>
        <w:rPr>
          <w:rFonts w:cstheme="minorHAnsi"/>
        </w:rPr>
        <w:t>The result is that all shares will vote on a one-for-one basis, notwithstanding the presence of weighted voting shares.</w:t>
      </w:r>
    </w:p>
    <w:p w14:paraId="53BBDC5E" w14:textId="77777777" w:rsidR="00094F1D" w:rsidRPr="00F43FEE" w:rsidRDefault="00094F1D" w:rsidP="00094F1D">
      <w:pPr>
        <w:pStyle w:val="a-000"/>
        <w:rPr>
          <w:rFonts w:asciiTheme="minorHAnsi" w:hAnsiTheme="minorHAnsi" w:cstheme="minorHAnsi"/>
          <w:szCs w:val="22"/>
        </w:rPr>
      </w:pPr>
      <w:r w:rsidRPr="00F43FEE">
        <w:rPr>
          <w:rFonts w:asciiTheme="minorHAnsi" w:hAnsiTheme="minorHAnsi" w:cstheme="minorHAnsi"/>
          <w:color w:val="222222"/>
          <w:szCs w:val="22"/>
        </w:rPr>
        <w:t>Furthermore</w:t>
      </w:r>
      <w:r>
        <w:rPr>
          <w:rFonts w:asciiTheme="minorHAnsi" w:hAnsiTheme="minorHAnsi" w:cstheme="minorHAnsi"/>
          <w:color w:val="222222"/>
          <w:szCs w:val="22"/>
        </w:rPr>
        <w:t xml:space="preserve"> - </w:t>
      </w:r>
    </w:p>
    <w:p w14:paraId="6901DF35" w14:textId="77777777" w:rsidR="00094F1D" w:rsidRDefault="00094F1D" w:rsidP="00094F1D">
      <w:pPr>
        <w:pStyle w:val="a-000"/>
        <w:numPr>
          <w:ilvl w:val="0"/>
          <w:numId w:val="4"/>
        </w:numPr>
        <w:rPr>
          <w:rFonts w:asciiTheme="minorHAnsi" w:hAnsiTheme="minorHAnsi" w:cstheme="minorHAnsi"/>
          <w:szCs w:val="22"/>
        </w:rPr>
      </w:pPr>
      <w:r w:rsidRPr="00F43FEE">
        <w:rPr>
          <w:rFonts w:asciiTheme="minorHAnsi" w:hAnsiTheme="minorHAnsi" w:cstheme="minorHAnsi"/>
          <w:szCs w:val="22"/>
        </w:rPr>
        <w:t>the</w:t>
      </w:r>
      <w:r>
        <w:rPr>
          <w:rFonts w:asciiTheme="minorHAnsi" w:hAnsiTheme="minorHAnsi" w:cstheme="minorHAnsi"/>
          <w:szCs w:val="22"/>
        </w:rPr>
        <w:t xml:space="preserve"> weighted</w:t>
      </w:r>
      <w:r w:rsidRPr="00F43FEE">
        <w:rPr>
          <w:rFonts w:asciiTheme="minorHAnsi" w:hAnsiTheme="minorHAnsi" w:cstheme="minorHAnsi"/>
          <w:szCs w:val="22"/>
        </w:rPr>
        <w:t xml:space="preserve"> voting share</w:t>
      </w:r>
      <w:r>
        <w:rPr>
          <w:rFonts w:asciiTheme="minorHAnsi" w:hAnsiTheme="minorHAnsi" w:cstheme="minorHAnsi"/>
          <w:szCs w:val="22"/>
        </w:rPr>
        <w:t>s</w:t>
      </w:r>
      <w:r w:rsidRPr="00F43FEE">
        <w:rPr>
          <w:rFonts w:asciiTheme="minorHAnsi" w:hAnsiTheme="minorHAnsi" w:cstheme="minorHAnsi"/>
          <w:szCs w:val="22"/>
        </w:rPr>
        <w:t xml:space="preserve"> must have automatic conversion provisions which provide that a </w:t>
      </w:r>
      <w:r>
        <w:rPr>
          <w:rFonts w:asciiTheme="minorHAnsi" w:hAnsiTheme="minorHAnsi" w:cstheme="minorHAnsi"/>
          <w:szCs w:val="22"/>
        </w:rPr>
        <w:t>weighted</w:t>
      </w:r>
      <w:r w:rsidRPr="00F43FEE">
        <w:rPr>
          <w:rFonts w:asciiTheme="minorHAnsi" w:hAnsiTheme="minorHAnsi" w:cstheme="minorHAnsi"/>
          <w:szCs w:val="22"/>
        </w:rPr>
        <w:t xml:space="preserve"> voting share will be converted into an ordinary voting share </w:t>
      </w:r>
      <w:proofErr w:type="gramStart"/>
      <w:r w:rsidRPr="00F43FEE">
        <w:rPr>
          <w:rFonts w:asciiTheme="minorHAnsi" w:hAnsiTheme="minorHAnsi" w:cstheme="minorHAnsi"/>
          <w:szCs w:val="22"/>
        </w:rPr>
        <w:t>in the event that</w:t>
      </w:r>
      <w:proofErr w:type="gramEnd"/>
      <w:r w:rsidRPr="00F43FEE">
        <w:rPr>
          <w:rFonts w:asciiTheme="minorHAnsi" w:hAnsiTheme="minorHAnsi" w:cstheme="minorHAnsi"/>
          <w:szCs w:val="22"/>
        </w:rPr>
        <w:t xml:space="preserve">: </w:t>
      </w:r>
    </w:p>
    <w:p w14:paraId="07DCE506" w14:textId="77777777" w:rsidR="00094F1D" w:rsidRPr="00BB0407" w:rsidRDefault="00094F1D" w:rsidP="00094F1D">
      <w:pPr>
        <w:pStyle w:val="a-000"/>
        <w:numPr>
          <w:ilvl w:val="1"/>
          <w:numId w:val="4"/>
        </w:numPr>
        <w:rPr>
          <w:rFonts w:asciiTheme="minorHAnsi" w:hAnsiTheme="minorHAnsi" w:cstheme="minorHAnsi"/>
          <w:szCs w:val="22"/>
        </w:rPr>
      </w:pPr>
      <w:r w:rsidRPr="00BB0407">
        <w:rPr>
          <w:rFonts w:asciiTheme="minorHAnsi" w:hAnsiTheme="minorHAnsi" w:cstheme="minorHAnsi"/>
          <w:szCs w:val="22"/>
        </w:rPr>
        <w:t>the</w:t>
      </w:r>
      <w:r>
        <w:rPr>
          <w:rFonts w:asciiTheme="minorHAnsi" w:hAnsiTheme="minorHAnsi" w:cstheme="minorHAnsi"/>
          <w:szCs w:val="22"/>
        </w:rPr>
        <w:t xml:space="preserve"> weighted</w:t>
      </w:r>
      <w:r w:rsidRPr="00BB0407">
        <w:rPr>
          <w:rFonts w:asciiTheme="minorHAnsi" w:hAnsiTheme="minorHAnsi" w:cstheme="minorHAnsi"/>
          <w:szCs w:val="22"/>
        </w:rPr>
        <w:t xml:space="preserve"> voting shares is sold or transferred to any person</w:t>
      </w:r>
      <w:r>
        <w:rPr>
          <w:rFonts w:asciiTheme="minorHAnsi" w:hAnsiTheme="minorHAnsi" w:cstheme="minorHAnsi"/>
          <w:szCs w:val="22"/>
        </w:rPr>
        <w:t>; and</w:t>
      </w:r>
    </w:p>
    <w:p w14:paraId="404AD8D1" w14:textId="77777777" w:rsidR="00094F1D" w:rsidRPr="00F43FEE" w:rsidRDefault="00094F1D" w:rsidP="00094F1D">
      <w:pPr>
        <w:pStyle w:val="a-000"/>
        <w:numPr>
          <w:ilvl w:val="1"/>
          <w:numId w:val="4"/>
        </w:numPr>
        <w:rPr>
          <w:rFonts w:asciiTheme="minorHAnsi" w:hAnsiTheme="minorHAnsi" w:cstheme="minorHAnsi"/>
          <w:szCs w:val="22"/>
        </w:rPr>
      </w:pPr>
      <w:r w:rsidRPr="00F43FEE">
        <w:rPr>
          <w:rFonts w:asciiTheme="minorHAnsi" w:hAnsiTheme="minorHAnsi" w:cstheme="minorHAnsi"/>
          <w:szCs w:val="22"/>
        </w:rPr>
        <w:t xml:space="preserve">on the expiry of a </w:t>
      </w:r>
      <w:r w:rsidRPr="00D6217D">
        <w:rPr>
          <w:rFonts w:asciiTheme="minorHAnsi" w:hAnsiTheme="minorHAnsi" w:cstheme="minorHAnsi"/>
          <w:szCs w:val="22"/>
        </w:rPr>
        <w:t>period of ten</w:t>
      </w:r>
      <w:r>
        <w:rPr>
          <w:rFonts w:asciiTheme="minorHAnsi" w:hAnsiTheme="minorHAnsi" w:cstheme="minorHAnsi"/>
          <w:szCs w:val="22"/>
        </w:rPr>
        <w:t xml:space="preserve"> </w:t>
      </w:r>
      <w:r w:rsidRPr="00D6217D">
        <w:rPr>
          <w:rFonts w:asciiTheme="minorHAnsi" w:hAnsiTheme="minorHAnsi" w:cstheme="minorHAnsi"/>
          <w:szCs w:val="22"/>
        </w:rPr>
        <w:t>years from</w:t>
      </w:r>
      <w:r w:rsidRPr="00F43FEE">
        <w:rPr>
          <w:rFonts w:asciiTheme="minorHAnsi" w:hAnsiTheme="minorHAnsi" w:cstheme="minorHAnsi"/>
          <w:szCs w:val="22"/>
        </w:rPr>
        <w:t xml:space="preserve"> the listing date of the applicant. </w:t>
      </w:r>
    </w:p>
    <w:p w14:paraId="126CA843" w14:textId="77777777" w:rsidR="00094F1D" w:rsidRPr="00F43FEE" w:rsidRDefault="00094F1D" w:rsidP="00094F1D">
      <w:pPr>
        <w:pStyle w:val="a-000"/>
        <w:numPr>
          <w:ilvl w:val="0"/>
          <w:numId w:val="4"/>
        </w:numPr>
        <w:rPr>
          <w:rFonts w:asciiTheme="minorHAnsi" w:hAnsiTheme="minorHAnsi" w:cstheme="minorHAnsi"/>
          <w:szCs w:val="22"/>
        </w:rPr>
      </w:pPr>
      <w:r w:rsidRPr="00F43FEE">
        <w:rPr>
          <w:rFonts w:asciiTheme="minorHAnsi" w:hAnsiTheme="minorHAnsi" w:cstheme="minorHAnsi"/>
          <w:szCs w:val="22"/>
        </w:rPr>
        <w:t xml:space="preserve">notwithstanding the provisions </w:t>
      </w:r>
      <w:r>
        <w:rPr>
          <w:rFonts w:asciiTheme="minorHAnsi" w:hAnsiTheme="minorHAnsi" w:cstheme="minorHAnsi"/>
          <w:szCs w:val="22"/>
        </w:rPr>
        <w:t>above</w:t>
      </w:r>
      <w:r w:rsidRPr="00F43FEE">
        <w:rPr>
          <w:rFonts w:asciiTheme="minorHAnsi" w:hAnsiTheme="minorHAnsi" w:cstheme="minorHAnsi"/>
          <w:szCs w:val="22"/>
        </w:rPr>
        <w:t xml:space="preserve">, holders of ordinary voting shares may agree at a general meeting to allow </w:t>
      </w:r>
      <w:r>
        <w:rPr>
          <w:rFonts w:asciiTheme="minorHAnsi" w:hAnsiTheme="minorHAnsi" w:cstheme="minorHAnsi"/>
          <w:szCs w:val="22"/>
        </w:rPr>
        <w:t xml:space="preserve">an extension to the time sunset provision (ten years) </w:t>
      </w:r>
      <w:r w:rsidRPr="00F43FEE">
        <w:rPr>
          <w:rFonts w:asciiTheme="minorHAnsi" w:hAnsiTheme="minorHAnsi" w:cstheme="minorHAnsi"/>
          <w:szCs w:val="22"/>
        </w:rPr>
        <w:t xml:space="preserve">provided the holders of </w:t>
      </w:r>
      <w:r>
        <w:rPr>
          <w:rFonts w:asciiTheme="minorHAnsi" w:hAnsiTheme="minorHAnsi" w:cstheme="minorHAnsi"/>
          <w:szCs w:val="22"/>
        </w:rPr>
        <w:t xml:space="preserve">weighted </w:t>
      </w:r>
      <w:r w:rsidRPr="00F43FEE">
        <w:rPr>
          <w:rFonts w:asciiTheme="minorHAnsi" w:hAnsiTheme="minorHAnsi" w:cstheme="minorHAnsi"/>
          <w:szCs w:val="22"/>
        </w:rPr>
        <w:t>voting shares (</w:t>
      </w:r>
      <w:r>
        <w:rPr>
          <w:rFonts w:asciiTheme="minorHAnsi" w:hAnsiTheme="minorHAnsi" w:cstheme="minorHAnsi"/>
          <w:szCs w:val="22"/>
        </w:rPr>
        <w:t xml:space="preserve">in respect of </w:t>
      </w:r>
      <w:r w:rsidRPr="00F43FEE">
        <w:rPr>
          <w:rFonts w:asciiTheme="minorHAnsi" w:hAnsiTheme="minorHAnsi" w:cstheme="minorHAnsi"/>
          <w:szCs w:val="22"/>
        </w:rPr>
        <w:t xml:space="preserve">their entire shareholdings in respect of the applicant, both </w:t>
      </w:r>
      <w:r>
        <w:rPr>
          <w:rFonts w:asciiTheme="minorHAnsi" w:hAnsiTheme="minorHAnsi" w:cstheme="minorHAnsi"/>
          <w:szCs w:val="22"/>
        </w:rPr>
        <w:t>weighted</w:t>
      </w:r>
      <w:r w:rsidRPr="00F43FEE">
        <w:rPr>
          <w:rFonts w:asciiTheme="minorHAnsi" w:hAnsiTheme="minorHAnsi" w:cstheme="minorHAnsi"/>
          <w:szCs w:val="22"/>
        </w:rPr>
        <w:t xml:space="preserve"> voting shares and ordinary shares) may not participate in such </w:t>
      </w:r>
      <w:proofErr w:type="gramStart"/>
      <w:r w:rsidRPr="00F43FEE">
        <w:rPr>
          <w:rFonts w:asciiTheme="minorHAnsi" w:hAnsiTheme="minorHAnsi" w:cstheme="minorHAnsi"/>
          <w:szCs w:val="22"/>
        </w:rPr>
        <w:t>vote;</w:t>
      </w:r>
      <w:proofErr w:type="gramEnd"/>
    </w:p>
    <w:p w14:paraId="6D7FE01D" w14:textId="77777777" w:rsidR="00094F1D" w:rsidRPr="00F43FEE" w:rsidRDefault="00094F1D" w:rsidP="00094F1D">
      <w:pPr>
        <w:pStyle w:val="a-000"/>
        <w:numPr>
          <w:ilvl w:val="0"/>
          <w:numId w:val="4"/>
        </w:numPr>
        <w:rPr>
          <w:rFonts w:asciiTheme="minorHAnsi" w:hAnsiTheme="minorHAnsi" w:cstheme="minorHAnsi"/>
          <w:szCs w:val="22"/>
        </w:rPr>
      </w:pPr>
      <w:r w:rsidRPr="00F43FEE">
        <w:rPr>
          <w:rFonts w:asciiTheme="minorHAnsi" w:hAnsiTheme="minorHAnsi" w:cstheme="minorHAnsi"/>
          <w:szCs w:val="22"/>
        </w:rPr>
        <w:t xml:space="preserve">holders of </w:t>
      </w:r>
      <w:r>
        <w:rPr>
          <w:rFonts w:asciiTheme="minorHAnsi" w:hAnsiTheme="minorHAnsi" w:cstheme="minorHAnsi"/>
          <w:szCs w:val="22"/>
        </w:rPr>
        <w:t>weighted</w:t>
      </w:r>
      <w:r w:rsidRPr="00F43FEE">
        <w:rPr>
          <w:rFonts w:asciiTheme="minorHAnsi" w:hAnsiTheme="minorHAnsi" w:cstheme="minorHAnsi"/>
          <w:szCs w:val="22"/>
        </w:rPr>
        <w:t xml:space="preserve"> voting shares must hold at</w:t>
      </w:r>
      <w:r>
        <w:rPr>
          <w:rFonts w:asciiTheme="minorHAnsi" w:hAnsiTheme="minorHAnsi" w:cstheme="minorHAnsi"/>
          <w:szCs w:val="22"/>
        </w:rPr>
        <w:t xml:space="preserve"> </w:t>
      </w:r>
      <w:r w:rsidRPr="00F43FEE">
        <w:rPr>
          <w:rFonts w:asciiTheme="minorHAnsi" w:hAnsiTheme="minorHAnsi" w:cstheme="minorHAnsi"/>
          <w:szCs w:val="22"/>
        </w:rPr>
        <w:t xml:space="preserve">least 10% of the economic interest in the applicant on </w:t>
      </w:r>
      <w:proofErr w:type="gramStart"/>
      <w:r w:rsidRPr="00F43FEE">
        <w:rPr>
          <w:rFonts w:asciiTheme="minorHAnsi" w:hAnsiTheme="minorHAnsi" w:cstheme="minorHAnsi"/>
          <w:szCs w:val="22"/>
        </w:rPr>
        <w:t>listing;</w:t>
      </w:r>
      <w:proofErr w:type="gramEnd"/>
    </w:p>
    <w:p w14:paraId="5DC5A734" w14:textId="77777777" w:rsidR="00094F1D" w:rsidRPr="00F43FEE" w:rsidRDefault="00094F1D" w:rsidP="00094F1D">
      <w:pPr>
        <w:pStyle w:val="a-000"/>
        <w:numPr>
          <w:ilvl w:val="0"/>
          <w:numId w:val="4"/>
        </w:numPr>
        <w:rPr>
          <w:rFonts w:asciiTheme="minorHAnsi" w:hAnsiTheme="minorHAnsi" w:cstheme="minorHAnsi"/>
          <w:szCs w:val="22"/>
        </w:rPr>
      </w:pPr>
      <w:r w:rsidRPr="00F43FEE">
        <w:rPr>
          <w:rFonts w:asciiTheme="minorHAnsi" w:hAnsiTheme="minorHAnsi" w:cstheme="minorHAnsi"/>
          <w:szCs w:val="22"/>
        </w:rPr>
        <w:t xml:space="preserve">holders of ordinary voting shares holding at least 10% of the total voting rights must have the ability to convene a general </w:t>
      </w:r>
      <w:proofErr w:type="gramStart"/>
      <w:r w:rsidRPr="00F43FEE">
        <w:rPr>
          <w:rFonts w:asciiTheme="minorHAnsi" w:hAnsiTheme="minorHAnsi" w:cstheme="minorHAnsi"/>
          <w:szCs w:val="22"/>
        </w:rPr>
        <w:t xml:space="preserve">meeting; </w:t>
      </w:r>
      <w:r>
        <w:rPr>
          <w:rFonts w:asciiTheme="minorHAnsi" w:hAnsiTheme="minorHAnsi" w:cstheme="minorHAnsi"/>
          <w:szCs w:val="22"/>
        </w:rPr>
        <w:t xml:space="preserve"> and</w:t>
      </w:r>
      <w:proofErr w:type="gramEnd"/>
    </w:p>
    <w:p w14:paraId="02AC5AAC" w14:textId="77777777" w:rsidR="00094F1D" w:rsidRPr="00F43FEE" w:rsidRDefault="00094F1D" w:rsidP="00094F1D">
      <w:pPr>
        <w:pStyle w:val="a-000"/>
        <w:numPr>
          <w:ilvl w:val="0"/>
          <w:numId w:val="4"/>
        </w:numPr>
        <w:rPr>
          <w:rFonts w:asciiTheme="minorHAnsi" w:hAnsiTheme="minorHAnsi" w:cstheme="minorHAnsi"/>
          <w:szCs w:val="22"/>
        </w:rPr>
      </w:pPr>
      <w:r w:rsidRPr="00F43FEE">
        <w:rPr>
          <w:rFonts w:asciiTheme="minorHAnsi" w:hAnsiTheme="minorHAnsi" w:cstheme="minorHAnsi"/>
          <w:szCs w:val="22"/>
        </w:rPr>
        <w:t xml:space="preserve">the holders of </w:t>
      </w:r>
      <w:r>
        <w:rPr>
          <w:rFonts w:asciiTheme="minorHAnsi" w:hAnsiTheme="minorHAnsi" w:cstheme="minorHAnsi"/>
          <w:szCs w:val="22"/>
        </w:rPr>
        <w:t>weighted</w:t>
      </w:r>
      <w:r w:rsidRPr="00F43FEE">
        <w:rPr>
          <w:rFonts w:asciiTheme="minorHAnsi" w:hAnsiTheme="minorHAnsi" w:cstheme="minorHAnsi"/>
          <w:szCs w:val="22"/>
        </w:rPr>
        <w:t xml:space="preserve"> voting shares must provide an undertaking that their entire shareholdings in respect of the applicant, both </w:t>
      </w:r>
      <w:r>
        <w:rPr>
          <w:rFonts w:asciiTheme="minorHAnsi" w:hAnsiTheme="minorHAnsi" w:cstheme="minorHAnsi"/>
          <w:szCs w:val="22"/>
        </w:rPr>
        <w:t>weighted</w:t>
      </w:r>
      <w:r w:rsidRPr="00F43FEE">
        <w:rPr>
          <w:rFonts w:asciiTheme="minorHAnsi" w:hAnsiTheme="minorHAnsi" w:cstheme="minorHAnsi"/>
          <w:szCs w:val="22"/>
        </w:rPr>
        <w:t xml:space="preserve"> voting shares and ordinary shares on listing, may not be disposed or transferred for a period of 12 months from the listing date</w:t>
      </w:r>
      <w:r>
        <w:rPr>
          <w:rFonts w:asciiTheme="minorHAnsi" w:hAnsiTheme="minorHAnsi" w:cstheme="minorHAnsi"/>
          <w:szCs w:val="22"/>
        </w:rPr>
        <w:t>.</w:t>
      </w:r>
    </w:p>
    <w:p w14:paraId="291F37BA" w14:textId="77777777" w:rsidR="00094F1D" w:rsidRDefault="00094F1D" w:rsidP="00094F1D">
      <w:pPr>
        <w:pStyle w:val="NormalWeb"/>
        <w:shd w:val="clear" w:color="auto" w:fill="FFFFFF"/>
        <w:spacing w:before="0" w:beforeAutospacing="0" w:after="240" w:afterAutospacing="0"/>
        <w:jc w:val="both"/>
        <w:textAlignment w:val="baseline"/>
        <w:rPr>
          <w:rFonts w:asciiTheme="minorHAnsi" w:hAnsiTheme="minorHAnsi" w:cstheme="minorHAnsi"/>
          <w:color w:val="222222"/>
          <w:sz w:val="22"/>
          <w:szCs w:val="22"/>
        </w:rPr>
      </w:pPr>
    </w:p>
    <w:p w14:paraId="2DA999BD" w14:textId="77777777" w:rsidR="00094F1D" w:rsidRPr="00DE6404" w:rsidRDefault="00094F1D" w:rsidP="00094F1D">
      <w:pPr>
        <w:pStyle w:val="NormalWeb"/>
        <w:shd w:val="clear" w:color="auto" w:fill="FFFFFF"/>
        <w:spacing w:before="0" w:beforeAutospacing="0" w:after="240" w:afterAutospacing="0"/>
        <w:jc w:val="both"/>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The JSE is of the view that the</w:t>
      </w:r>
      <w:r w:rsidRPr="00DE6404">
        <w:rPr>
          <w:rFonts w:asciiTheme="minorHAnsi" w:hAnsiTheme="minorHAnsi" w:cstheme="minorHAnsi"/>
          <w:color w:val="222222"/>
          <w:sz w:val="22"/>
          <w:szCs w:val="22"/>
        </w:rPr>
        <w:t xml:space="preserve"> one-share-one-vote structure will </w:t>
      </w:r>
      <w:r>
        <w:rPr>
          <w:rFonts w:asciiTheme="minorHAnsi" w:hAnsiTheme="minorHAnsi" w:cstheme="minorHAnsi"/>
          <w:color w:val="222222"/>
          <w:sz w:val="22"/>
          <w:szCs w:val="22"/>
        </w:rPr>
        <w:t xml:space="preserve">most probably </w:t>
      </w:r>
      <w:r w:rsidRPr="00DE6404">
        <w:rPr>
          <w:rFonts w:asciiTheme="minorHAnsi" w:hAnsiTheme="minorHAnsi" w:cstheme="minorHAnsi"/>
          <w:color w:val="222222"/>
          <w:sz w:val="22"/>
          <w:szCs w:val="22"/>
        </w:rPr>
        <w:t>continue to be the default structure</w:t>
      </w:r>
      <w:r>
        <w:rPr>
          <w:rFonts w:asciiTheme="minorHAnsi" w:hAnsiTheme="minorHAnsi" w:cstheme="minorHAnsi"/>
          <w:color w:val="222222"/>
          <w:sz w:val="22"/>
          <w:szCs w:val="22"/>
        </w:rPr>
        <w:t xml:space="preserve"> for applicant issuers</w:t>
      </w:r>
      <w:r w:rsidRPr="00DE6404">
        <w:rPr>
          <w:rFonts w:asciiTheme="minorHAnsi" w:hAnsiTheme="minorHAnsi" w:cstheme="minorHAnsi"/>
          <w:color w:val="222222"/>
          <w:sz w:val="22"/>
          <w:szCs w:val="22"/>
        </w:rPr>
        <w:t xml:space="preserve">. </w:t>
      </w:r>
      <w:r>
        <w:rPr>
          <w:rFonts w:asciiTheme="minorHAnsi" w:hAnsiTheme="minorHAnsi" w:cstheme="minorHAnsi"/>
          <w:color w:val="222222"/>
          <w:sz w:val="22"/>
          <w:szCs w:val="22"/>
        </w:rPr>
        <w:t>W</w:t>
      </w:r>
      <w:r w:rsidRPr="00290AB9">
        <w:rPr>
          <w:rFonts w:asciiTheme="minorHAnsi" w:hAnsiTheme="minorHAnsi" w:cstheme="minorHAnsi"/>
          <w:sz w:val="22"/>
          <w:szCs w:val="22"/>
        </w:rPr>
        <w:t>eighted voting shares</w:t>
      </w:r>
      <w:r w:rsidRPr="00290AB9">
        <w:rPr>
          <w:rFonts w:asciiTheme="minorHAnsi" w:hAnsiTheme="minorHAnsi" w:cstheme="minorHAnsi"/>
          <w:color w:val="222222"/>
          <w:sz w:val="22"/>
          <w:szCs w:val="22"/>
        </w:rPr>
        <w:t xml:space="preserve"> structures</w:t>
      </w:r>
      <w:r w:rsidRPr="00DE6404">
        <w:rPr>
          <w:rFonts w:asciiTheme="minorHAnsi" w:hAnsiTheme="minorHAnsi" w:cstheme="minorHAnsi"/>
          <w:color w:val="222222"/>
          <w:sz w:val="22"/>
          <w:szCs w:val="22"/>
        </w:rPr>
        <w:t xml:space="preserve"> </w:t>
      </w:r>
      <w:r>
        <w:rPr>
          <w:rFonts w:asciiTheme="minorHAnsi" w:hAnsiTheme="minorHAnsi" w:cstheme="minorHAnsi"/>
          <w:color w:val="222222"/>
          <w:sz w:val="22"/>
          <w:szCs w:val="22"/>
        </w:rPr>
        <w:t>may</w:t>
      </w:r>
      <w:r w:rsidRPr="00DE6404">
        <w:rPr>
          <w:rFonts w:asciiTheme="minorHAnsi" w:hAnsiTheme="minorHAnsi" w:cstheme="minorHAnsi"/>
          <w:color w:val="222222"/>
          <w:sz w:val="22"/>
          <w:szCs w:val="22"/>
        </w:rPr>
        <w:t xml:space="preserve"> not </w:t>
      </w:r>
      <w:r>
        <w:rPr>
          <w:rFonts w:asciiTheme="minorHAnsi" w:hAnsiTheme="minorHAnsi" w:cstheme="minorHAnsi"/>
          <w:color w:val="222222"/>
          <w:sz w:val="22"/>
          <w:szCs w:val="22"/>
        </w:rPr>
        <w:t xml:space="preserve">be </w:t>
      </w:r>
      <w:r w:rsidRPr="00DE6404">
        <w:rPr>
          <w:rFonts w:asciiTheme="minorHAnsi" w:hAnsiTheme="minorHAnsi" w:cstheme="minorHAnsi"/>
          <w:color w:val="222222"/>
          <w:sz w:val="22"/>
          <w:szCs w:val="22"/>
        </w:rPr>
        <w:t xml:space="preserve">for all companies, nor all investors. </w:t>
      </w:r>
      <w:r>
        <w:rPr>
          <w:rFonts w:asciiTheme="minorHAnsi" w:hAnsiTheme="minorHAnsi" w:cstheme="minorHAnsi"/>
          <w:color w:val="222222"/>
          <w:sz w:val="22"/>
          <w:szCs w:val="22"/>
        </w:rPr>
        <w:t xml:space="preserve">The JSE recognises (like other markets) that there are </w:t>
      </w:r>
      <w:r w:rsidRPr="00DE6404">
        <w:rPr>
          <w:rFonts w:asciiTheme="minorHAnsi" w:hAnsiTheme="minorHAnsi" w:cstheme="minorHAnsi"/>
          <w:color w:val="222222"/>
          <w:sz w:val="22"/>
          <w:szCs w:val="22"/>
        </w:rPr>
        <w:t>associated</w:t>
      </w:r>
      <w:r>
        <w:rPr>
          <w:rFonts w:asciiTheme="minorHAnsi" w:hAnsiTheme="minorHAnsi" w:cstheme="minorHAnsi"/>
          <w:color w:val="222222"/>
          <w:sz w:val="22"/>
          <w:szCs w:val="22"/>
        </w:rPr>
        <w:t xml:space="preserve"> </w:t>
      </w:r>
      <w:r w:rsidRPr="00DE6404">
        <w:rPr>
          <w:rFonts w:asciiTheme="minorHAnsi" w:hAnsiTheme="minorHAnsi" w:cstheme="minorHAnsi"/>
          <w:color w:val="222222"/>
          <w:sz w:val="22"/>
          <w:szCs w:val="22"/>
        </w:rPr>
        <w:t xml:space="preserve">risks </w:t>
      </w:r>
      <w:r>
        <w:rPr>
          <w:rFonts w:asciiTheme="minorHAnsi" w:hAnsiTheme="minorHAnsi" w:cstheme="minorHAnsi"/>
          <w:color w:val="222222"/>
          <w:sz w:val="22"/>
          <w:szCs w:val="22"/>
        </w:rPr>
        <w:t>when</w:t>
      </w:r>
      <w:r w:rsidRPr="00DE6404">
        <w:rPr>
          <w:rFonts w:asciiTheme="minorHAnsi" w:hAnsiTheme="minorHAnsi" w:cstheme="minorHAnsi"/>
          <w:color w:val="222222"/>
          <w:sz w:val="22"/>
          <w:szCs w:val="22"/>
        </w:rPr>
        <w:t xml:space="preserve"> entrenc</w:t>
      </w:r>
      <w:r>
        <w:rPr>
          <w:rFonts w:asciiTheme="minorHAnsi" w:hAnsiTheme="minorHAnsi" w:cstheme="minorHAnsi"/>
          <w:color w:val="222222"/>
          <w:sz w:val="22"/>
          <w:szCs w:val="22"/>
        </w:rPr>
        <w:t xml:space="preserve">hing </w:t>
      </w:r>
      <w:r>
        <w:rPr>
          <w:rFonts w:asciiTheme="minorHAnsi" w:hAnsiTheme="minorHAnsi" w:cstheme="minorHAnsi"/>
          <w:color w:val="222222"/>
          <w:sz w:val="22"/>
          <w:szCs w:val="22"/>
        </w:rPr>
        <w:lastRenderedPageBreak/>
        <w:t>higher voting powers</w:t>
      </w:r>
      <w:r w:rsidRPr="00DE6404">
        <w:rPr>
          <w:rFonts w:asciiTheme="minorHAnsi" w:hAnsiTheme="minorHAnsi" w:cstheme="minorHAnsi"/>
          <w:color w:val="222222"/>
          <w:sz w:val="22"/>
          <w:szCs w:val="22"/>
        </w:rPr>
        <w:t xml:space="preserve">, </w:t>
      </w:r>
      <w:r>
        <w:rPr>
          <w:rFonts w:asciiTheme="minorHAnsi" w:hAnsiTheme="minorHAnsi" w:cstheme="minorHAnsi"/>
          <w:color w:val="222222"/>
          <w:sz w:val="22"/>
          <w:szCs w:val="22"/>
        </w:rPr>
        <w:t xml:space="preserve">however the JSE believes that the </w:t>
      </w:r>
      <w:r w:rsidRPr="00DE6404">
        <w:rPr>
          <w:rFonts w:asciiTheme="minorHAnsi" w:hAnsiTheme="minorHAnsi" w:cstheme="minorHAnsi"/>
          <w:color w:val="222222"/>
          <w:sz w:val="22"/>
          <w:szCs w:val="22"/>
        </w:rPr>
        <w:t>proposed specific safeguards to mitigate these risks</w:t>
      </w:r>
      <w:r>
        <w:rPr>
          <w:rFonts w:asciiTheme="minorHAnsi" w:hAnsiTheme="minorHAnsi" w:cstheme="minorHAnsi"/>
          <w:color w:val="222222"/>
          <w:sz w:val="22"/>
          <w:szCs w:val="22"/>
        </w:rPr>
        <w:t xml:space="preserve"> will strike the right balance between the interest of these type of issuers and investors/shareholders.</w:t>
      </w:r>
      <w:r w:rsidRPr="00DE6404">
        <w:rPr>
          <w:rFonts w:asciiTheme="minorHAnsi" w:hAnsiTheme="minorHAnsi" w:cstheme="minorHAnsi"/>
          <w:color w:val="222222"/>
          <w:sz w:val="22"/>
          <w:szCs w:val="22"/>
        </w:rPr>
        <w:t xml:space="preserve"> </w:t>
      </w:r>
      <w:r>
        <w:rPr>
          <w:rFonts w:asciiTheme="minorHAnsi" w:hAnsiTheme="minorHAnsi" w:cstheme="minorHAnsi"/>
          <w:color w:val="222222"/>
          <w:sz w:val="22"/>
          <w:szCs w:val="22"/>
        </w:rPr>
        <w:t>It remains vital that i</w:t>
      </w:r>
      <w:r w:rsidRPr="00DE6404">
        <w:rPr>
          <w:rFonts w:asciiTheme="minorHAnsi" w:hAnsiTheme="minorHAnsi" w:cstheme="minorHAnsi"/>
          <w:color w:val="222222"/>
          <w:sz w:val="22"/>
          <w:szCs w:val="22"/>
        </w:rPr>
        <w:t xml:space="preserve">nvestors must be informed of the risks </w:t>
      </w:r>
      <w:r>
        <w:rPr>
          <w:rFonts w:asciiTheme="minorHAnsi" w:hAnsiTheme="minorHAnsi" w:cstheme="minorHAnsi"/>
          <w:color w:val="222222"/>
          <w:sz w:val="22"/>
          <w:szCs w:val="22"/>
        </w:rPr>
        <w:t>associated with</w:t>
      </w:r>
      <w:r w:rsidRPr="00C26AAC">
        <w:rPr>
          <w:rFonts w:asciiTheme="minorHAnsi" w:hAnsiTheme="minorHAnsi" w:cstheme="minorHAnsi"/>
          <w:color w:val="222222"/>
          <w:sz w:val="22"/>
          <w:szCs w:val="22"/>
        </w:rPr>
        <w:t xml:space="preserve"> </w:t>
      </w:r>
      <w:r w:rsidRPr="00290AB9">
        <w:rPr>
          <w:rFonts w:asciiTheme="minorHAnsi" w:hAnsiTheme="minorHAnsi" w:cstheme="minorHAnsi"/>
          <w:sz w:val="22"/>
          <w:szCs w:val="22"/>
        </w:rPr>
        <w:t>weighted voting shares</w:t>
      </w:r>
      <w:r w:rsidRPr="00290AB9">
        <w:rPr>
          <w:rFonts w:asciiTheme="minorHAnsi" w:hAnsiTheme="minorHAnsi" w:cstheme="minorHAnsi"/>
          <w:color w:val="222222"/>
          <w:sz w:val="22"/>
          <w:szCs w:val="22"/>
        </w:rPr>
        <w:t xml:space="preserve"> structures</w:t>
      </w:r>
      <w:r w:rsidRPr="00DE6404">
        <w:rPr>
          <w:rFonts w:asciiTheme="minorHAnsi" w:hAnsiTheme="minorHAnsi" w:cstheme="minorHAnsi"/>
          <w:color w:val="222222"/>
          <w:sz w:val="22"/>
          <w:szCs w:val="22"/>
        </w:rPr>
        <w:t xml:space="preserve"> if they </w:t>
      </w:r>
      <w:r>
        <w:rPr>
          <w:rFonts w:asciiTheme="minorHAnsi" w:hAnsiTheme="minorHAnsi" w:cstheme="minorHAnsi"/>
          <w:color w:val="222222"/>
          <w:sz w:val="22"/>
          <w:szCs w:val="22"/>
        </w:rPr>
        <w:t xml:space="preserve">choose to </w:t>
      </w:r>
      <w:r w:rsidRPr="00DE6404">
        <w:rPr>
          <w:rFonts w:asciiTheme="minorHAnsi" w:hAnsiTheme="minorHAnsi" w:cstheme="minorHAnsi"/>
          <w:color w:val="222222"/>
          <w:sz w:val="22"/>
          <w:szCs w:val="22"/>
        </w:rPr>
        <w:t>invest in them</w:t>
      </w:r>
      <w:r>
        <w:rPr>
          <w:rFonts w:asciiTheme="minorHAnsi" w:hAnsiTheme="minorHAnsi" w:cstheme="minorHAnsi"/>
          <w:color w:val="222222"/>
          <w:sz w:val="22"/>
          <w:szCs w:val="22"/>
        </w:rPr>
        <w:t>, and therefore the JSE will mandate prominent disclosure from the outset on listing and on a continuing basis.</w:t>
      </w:r>
    </w:p>
    <w:p w14:paraId="5E7BB6DC" w14:textId="77777777" w:rsidR="00094F1D" w:rsidRPr="00FB1BD4" w:rsidRDefault="00094F1D" w:rsidP="00094F1D">
      <w:pPr>
        <w:pStyle w:val="NormalWeb"/>
        <w:shd w:val="clear" w:color="auto" w:fill="FFFFFF"/>
        <w:spacing w:before="0" w:beforeAutospacing="0" w:after="240" w:afterAutospacing="0"/>
        <w:jc w:val="both"/>
        <w:textAlignment w:val="baseline"/>
        <w:rPr>
          <w:rFonts w:asciiTheme="minorHAnsi" w:hAnsiTheme="minorHAnsi" w:cstheme="minorHAnsi"/>
          <w:sz w:val="22"/>
          <w:szCs w:val="22"/>
        </w:rPr>
      </w:pPr>
      <w:proofErr w:type="gramStart"/>
      <w:r w:rsidRPr="00FB1BD4">
        <w:rPr>
          <w:rFonts w:asciiTheme="minorHAnsi" w:hAnsiTheme="minorHAnsi" w:cstheme="minorHAnsi"/>
          <w:sz w:val="22"/>
          <w:szCs w:val="22"/>
        </w:rPr>
        <w:t>In order to</w:t>
      </w:r>
      <w:proofErr w:type="gramEnd"/>
      <w:r w:rsidRPr="00FB1BD4">
        <w:rPr>
          <w:rFonts w:asciiTheme="minorHAnsi" w:hAnsiTheme="minorHAnsi" w:cstheme="minorHAnsi"/>
          <w:sz w:val="22"/>
          <w:szCs w:val="22"/>
        </w:rPr>
        <w:t xml:space="preserve"> </w:t>
      </w:r>
      <w:r w:rsidRPr="00FB1BD4">
        <w:rPr>
          <w:rFonts w:asciiTheme="minorHAnsi" w:hAnsiTheme="minorHAnsi" w:cstheme="minorHAnsi"/>
          <w:color w:val="222222"/>
          <w:sz w:val="22"/>
          <w:szCs w:val="22"/>
        </w:rPr>
        <w:t>ensure</w:t>
      </w:r>
      <w:r w:rsidRPr="00FB1BD4">
        <w:rPr>
          <w:rFonts w:asciiTheme="minorHAnsi" w:hAnsiTheme="minorHAnsi" w:cstheme="minorHAnsi"/>
          <w:sz w:val="22"/>
          <w:szCs w:val="22"/>
        </w:rPr>
        <w:t xml:space="preserve"> the continued attractiveness and competitiveness of the JSE compared to other leading markets, the JSE is of the view that the introduction </w:t>
      </w:r>
      <w:r w:rsidRPr="00290AB9">
        <w:rPr>
          <w:rFonts w:asciiTheme="minorHAnsi" w:hAnsiTheme="minorHAnsi" w:cstheme="minorHAnsi"/>
          <w:color w:val="222222"/>
          <w:sz w:val="22"/>
          <w:szCs w:val="22"/>
        </w:rPr>
        <w:t xml:space="preserve">of </w:t>
      </w:r>
      <w:r w:rsidRPr="00290AB9">
        <w:rPr>
          <w:rFonts w:asciiTheme="minorHAnsi" w:hAnsiTheme="minorHAnsi" w:cstheme="minorHAnsi"/>
          <w:sz w:val="22"/>
          <w:szCs w:val="22"/>
        </w:rPr>
        <w:t>weighted voting shares</w:t>
      </w:r>
      <w:r w:rsidRPr="00290AB9">
        <w:rPr>
          <w:rFonts w:asciiTheme="minorHAnsi" w:hAnsiTheme="minorHAnsi" w:cstheme="minorHAnsi"/>
          <w:color w:val="222222"/>
          <w:sz w:val="22"/>
          <w:szCs w:val="22"/>
        </w:rPr>
        <w:t xml:space="preserve"> structures</w:t>
      </w:r>
      <w:r w:rsidRPr="00FB1BD4">
        <w:rPr>
          <w:rFonts w:asciiTheme="minorHAnsi" w:hAnsiTheme="minorHAnsi" w:cstheme="minorHAnsi"/>
          <w:sz w:val="22"/>
          <w:szCs w:val="22"/>
        </w:rPr>
        <w:t xml:space="preserve"> to the Main Board of the JSE is appropriate and necessary, provided there are balanced safeguards for the protection of investors. </w:t>
      </w:r>
    </w:p>
    <w:p w14:paraId="66E7F5FF" w14:textId="3537456D" w:rsidR="002F1E36" w:rsidRDefault="002F1E36" w:rsidP="0088069A">
      <w:pPr>
        <w:jc w:val="both"/>
        <w:rPr>
          <w:b/>
          <w:bCs/>
        </w:rPr>
      </w:pPr>
      <w:r>
        <w:rPr>
          <w:b/>
          <w:bCs/>
        </w:rPr>
        <w:t xml:space="preserve">Part </w:t>
      </w:r>
      <w:r w:rsidR="007334B0">
        <w:rPr>
          <w:b/>
          <w:bCs/>
        </w:rPr>
        <w:t>B</w:t>
      </w:r>
      <w:r>
        <w:rPr>
          <w:b/>
          <w:bCs/>
        </w:rPr>
        <w:t>: Free Float – New Listings</w:t>
      </w:r>
    </w:p>
    <w:p w14:paraId="1D8DE393" w14:textId="77777777" w:rsidR="002F1E36" w:rsidRPr="00A623ED" w:rsidRDefault="002F1E36" w:rsidP="002F1E36">
      <w:pPr>
        <w:jc w:val="both"/>
        <w:rPr>
          <w:rFonts w:cstheme="minorHAnsi"/>
        </w:rPr>
      </w:pPr>
      <w:r w:rsidRPr="00A623ED">
        <w:rPr>
          <w:rFonts w:cstheme="minorHAnsi"/>
        </w:rPr>
        <w:t xml:space="preserve">The JSE issued a Consultation Paper in May 2022 with the aim of obtaining public input on various proposals regarding its </w:t>
      </w:r>
      <w:proofErr w:type="gramStart"/>
      <w:r w:rsidRPr="00A623ED">
        <w:rPr>
          <w:rFonts w:cstheme="minorHAnsi"/>
        </w:rPr>
        <w:t>listings</w:t>
      </w:r>
      <w:proofErr w:type="gramEnd"/>
      <w:r w:rsidRPr="00A623ED">
        <w:rPr>
          <w:rFonts w:cstheme="minorHAnsi"/>
        </w:rPr>
        <w:t xml:space="preserve"> framework, considering recent international developments and JSE initiatives. The Consultation Paper also forms part of the JSE’s ongoing approach of engaging the market in its efforts to promote capital market activity, competitiveness and providing innovative solutions for the market.   </w:t>
      </w:r>
    </w:p>
    <w:p w14:paraId="7346354D" w14:textId="77777777" w:rsidR="002F1E36" w:rsidRPr="00A623ED" w:rsidRDefault="002F1E36" w:rsidP="002F1E36">
      <w:pPr>
        <w:jc w:val="both"/>
        <w:rPr>
          <w:rFonts w:cstheme="minorHAnsi"/>
        </w:rPr>
      </w:pPr>
      <w:r w:rsidRPr="00A623ED">
        <w:rPr>
          <w:rFonts w:cstheme="minorHAnsi"/>
        </w:rPr>
        <w:t xml:space="preserve">The JSE is pleased to proceed with </w:t>
      </w:r>
      <w:r>
        <w:rPr>
          <w:rFonts w:cstheme="minorHAnsi"/>
        </w:rPr>
        <w:t xml:space="preserve">the proposal </w:t>
      </w:r>
      <w:r w:rsidRPr="00A623ED">
        <w:rPr>
          <w:rFonts w:cstheme="minorHAnsi"/>
        </w:rPr>
        <w:t xml:space="preserve">to reduce </w:t>
      </w:r>
      <w:r>
        <w:rPr>
          <w:rFonts w:cstheme="minorHAnsi"/>
        </w:rPr>
        <w:t>the</w:t>
      </w:r>
      <w:r w:rsidRPr="00A623ED">
        <w:rPr>
          <w:rFonts w:cstheme="minorHAnsi"/>
        </w:rPr>
        <w:t xml:space="preserve"> free float requirement, as a condition of listing</w:t>
      </w:r>
      <w:r>
        <w:rPr>
          <w:rFonts w:cstheme="minorHAnsi"/>
        </w:rPr>
        <w:t>,</w:t>
      </w:r>
      <w:r w:rsidRPr="00A623ED">
        <w:rPr>
          <w:rFonts w:cstheme="minorHAnsi"/>
        </w:rPr>
        <w:t xml:space="preserve"> for Main Board issuers. The proposal to reduce the free float requirement received overwhelming support</w:t>
      </w:r>
      <w:r>
        <w:rPr>
          <w:rFonts w:cstheme="minorHAnsi"/>
        </w:rPr>
        <w:t xml:space="preserve"> from the market</w:t>
      </w:r>
      <w:r w:rsidRPr="00A623ED">
        <w:rPr>
          <w:rFonts w:cstheme="minorHAnsi"/>
        </w:rPr>
        <w:t>. Kindly refer to the JSE Response Paper</w:t>
      </w:r>
      <w:r>
        <w:rPr>
          <w:rFonts w:cstheme="minorHAnsi"/>
        </w:rPr>
        <w:t>.</w:t>
      </w:r>
      <w:r w:rsidRPr="00A623ED">
        <w:rPr>
          <w:rStyle w:val="FootnoteReference"/>
          <w:rFonts w:cstheme="minorHAnsi"/>
        </w:rPr>
        <w:footnoteReference w:id="3"/>
      </w:r>
    </w:p>
    <w:p w14:paraId="6777B78B" w14:textId="77777777" w:rsidR="002F1E36" w:rsidRDefault="002F1E36" w:rsidP="002F1E36">
      <w:pPr>
        <w:jc w:val="both"/>
        <w:rPr>
          <w:rFonts w:cstheme="minorHAnsi"/>
        </w:rPr>
      </w:pPr>
    </w:p>
    <w:p w14:paraId="76C930FA" w14:textId="77777777" w:rsidR="002F1E36" w:rsidRPr="007539EE" w:rsidRDefault="002F1E36" w:rsidP="002F1E36">
      <w:pPr>
        <w:jc w:val="both"/>
        <w:rPr>
          <w:rFonts w:cstheme="minorHAnsi"/>
        </w:rPr>
      </w:pPr>
      <w:r w:rsidRPr="007539EE">
        <w:rPr>
          <w:rFonts w:cstheme="minorHAnsi"/>
        </w:rPr>
        <w:t xml:space="preserve">Free float refers to the portion of a company’s issued share capital that is in the hands of public investors, as opposed </w:t>
      </w:r>
      <w:proofErr w:type="gramStart"/>
      <w:r w:rsidRPr="007539EE">
        <w:rPr>
          <w:rFonts w:cstheme="minorHAnsi"/>
        </w:rPr>
        <w:t>to  directors</w:t>
      </w:r>
      <w:proofErr w:type="gramEnd"/>
      <w:r w:rsidRPr="007539EE">
        <w:rPr>
          <w:rFonts w:cstheme="minorHAnsi"/>
        </w:rPr>
        <w:t>, or shareholders that hold interests</w:t>
      </w:r>
      <w:r>
        <w:rPr>
          <w:rFonts w:cstheme="minorHAnsi"/>
        </w:rPr>
        <w:t xml:space="preserve"> of 10% or more</w:t>
      </w:r>
      <w:r w:rsidRPr="007539EE">
        <w:rPr>
          <w:rFonts w:cstheme="minorHAnsi"/>
        </w:rPr>
        <w:t xml:space="preserve">. </w:t>
      </w:r>
    </w:p>
    <w:p w14:paraId="1282B03F" w14:textId="77777777" w:rsidR="002F1E36" w:rsidRPr="007539EE" w:rsidRDefault="002F1E36" w:rsidP="002F1E36">
      <w:pPr>
        <w:jc w:val="both"/>
        <w:rPr>
          <w:rFonts w:cstheme="minorHAnsi"/>
        </w:rPr>
      </w:pPr>
      <w:r w:rsidRPr="007539EE">
        <w:rPr>
          <w:rFonts w:cstheme="minorHAnsi"/>
        </w:rPr>
        <w:t>There has been a renewed focus on free float emanating from the UK</w:t>
      </w:r>
      <w:r>
        <w:rPr>
          <w:rFonts w:cstheme="minorHAnsi"/>
        </w:rPr>
        <w:t xml:space="preserve"> and EU</w:t>
      </w:r>
      <w:r w:rsidRPr="007539EE">
        <w:rPr>
          <w:rFonts w:cstheme="minorHAnsi"/>
        </w:rPr>
        <w:t xml:space="preserve"> Listings Review</w:t>
      </w:r>
      <w:r>
        <w:rPr>
          <w:rFonts w:cstheme="minorHAnsi"/>
        </w:rPr>
        <w:t>s</w:t>
      </w:r>
      <w:r w:rsidRPr="007539EE">
        <w:rPr>
          <w:rFonts w:cstheme="minorHAnsi"/>
        </w:rPr>
        <w:t>, where there is a focused drive to reduce free float requirements for new listings.</w:t>
      </w:r>
    </w:p>
    <w:p w14:paraId="1406778D" w14:textId="77777777" w:rsidR="002F1E36" w:rsidRPr="007539EE" w:rsidRDefault="002F1E36" w:rsidP="002F1E36">
      <w:pPr>
        <w:jc w:val="both"/>
        <w:rPr>
          <w:rFonts w:cstheme="minorHAnsi"/>
        </w:rPr>
      </w:pPr>
      <w:r w:rsidRPr="007539EE">
        <w:rPr>
          <w:rFonts w:cstheme="minorHAnsi"/>
        </w:rPr>
        <w:t>The UK Listings Review Report made interesting observations on free float:</w:t>
      </w:r>
    </w:p>
    <w:p w14:paraId="43008166" w14:textId="77777777" w:rsidR="002F1E36" w:rsidRDefault="002F1E36" w:rsidP="002F1E36">
      <w:pPr>
        <w:ind w:left="720"/>
        <w:jc w:val="both"/>
        <w:rPr>
          <w:rFonts w:cstheme="minorHAnsi"/>
          <w:i/>
          <w:iCs/>
        </w:rPr>
      </w:pPr>
      <w:r w:rsidRPr="007539EE">
        <w:rPr>
          <w:rFonts w:cstheme="minorHAnsi"/>
          <w:i/>
          <w:iCs/>
        </w:rPr>
        <w:t xml:space="preserve">“Existing FCA rules on free float levels are seen as one of strongest deterrents to companies when they consider where to list, particularly for high growth and private equity backed companies. Making available a quarter of a company’s equity can be a daunting prospect, particularly if the company is already of significant size, or if there aren’t enough willing sellers. </w:t>
      </w:r>
    </w:p>
    <w:p w14:paraId="5B57E2E3" w14:textId="77777777" w:rsidR="002F1E36" w:rsidRDefault="002F1E36" w:rsidP="002F1E36">
      <w:pPr>
        <w:ind w:left="720"/>
        <w:jc w:val="both"/>
        <w:rPr>
          <w:rFonts w:cstheme="minorHAnsi"/>
          <w:i/>
          <w:iCs/>
        </w:rPr>
      </w:pPr>
      <w:r w:rsidRPr="007539EE">
        <w:rPr>
          <w:rFonts w:cstheme="minorHAnsi"/>
          <w:i/>
          <w:iCs/>
        </w:rPr>
        <w:lastRenderedPageBreak/>
        <w:t xml:space="preserve">Different listing venues around the world approach setting the level of shares in public hands – </w:t>
      </w:r>
      <w:proofErr w:type="gramStart"/>
      <w:r w:rsidRPr="007539EE">
        <w:rPr>
          <w:rFonts w:cstheme="minorHAnsi"/>
          <w:i/>
          <w:iCs/>
        </w:rPr>
        <w:t>i.e.</w:t>
      </w:r>
      <w:proofErr w:type="gramEnd"/>
      <w:r w:rsidRPr="007539EE">
        <w:rPr>
          <w:rFonts w:cstheme="minorHAnsi"/>
          <w:i/>
          <w:iCs/>
        </w:rPr>
        <w:t xml:space="preserve"> those that are freely tradeable – at and following IPOs in various ways. Other markets use a combination of metrics to ascertain how much stock a company needs to float. Very few </w:t>
      </w:r>
      <w:proofErr w:type="gramStart"/>
      <w:r w:rsidRPr="007539EE">
        <w:rPr>
          <w:rFonts w:cstheme="minorHAnsi"/>
          <w:i/>
          <w:iCs/>
        </w:rPr>
        <w:t>use</w:t>
      </w:r>
      <w:proofErr w:type="gramEnd"/>
      <w:r w:rsidRPr="007539EE">
        <w:rPr>
          <w:rFonts w:cstheme="minorHAnsi"/>
          <w:i/>
          <w:iCs/>
        </w:rPr>
        <w:t xml:space="preserve"> one single metric to do so and there is evidence that the existing metric in the Listing Rules of an absolute threshold set at 25% of a company’s issued share capital does not act as a reliable measure for liquidity over time. Analysis conducted by the London Stock Exchange, included in Annex B, shows that in the US, where a significant number of companies have a lower free float than currently allowed under FCA rules, there is no significant drop in secondary market liquidity until below a 10% free float.”</w:t>
      </w:r>
      <w:r>
        <w:rPr>
          <w:rStyle w:val="FootnoteReference"/>
          <w:rFonts w:cstheme="minorHAnsi"/>
          <w:i/>
          <w:iCs/>
        </w:rPr>
        <w:footnoteReference w:id="4"/>
      </w:r>
    </w:p>
    <w:p w14:paraId="1B4A5CC8" w14:textId="77777777" w:rsidR="00C02DB8" w:rsidRDefault="00C02DB8" w:rsidP="00C02DB8">
      <w:pPr>
        <w:rPr>
          <w:rFonts w:cstheme="minorHAnsi"/>
        </w:rPr>
      </w:pPr>
      <w:r>
        <w:rPr>
          <w:rFonts w:cstheme="minorHAnsi"/>
        </w:rPr>
        <w:t xml:space="preserve">The EU has not yet </w:t>
      </w:r>
      <w:proofErr w:type="spellStart"/>
      <w:r>
        <w:rPr>
          <w:rFonts w:cstheme="minorHAnsi"/>
        </w:rPr>
        <w:t>finalised</w:t>
      </w:r>
      <w:proofErr w:type="spellEnd"/>
      <w:r>
        <w:rPr>
          <w:rFonts w:cstheme="minorHAnsi"/>
        </w:rPr>
        <w:t xml:space="preserve"> its position, but made the following remarks in the EU Report:</w:t>
      </w:r>
    </w:p>
    <w:p w14:paraId="49512087" w14:textId="77777777" w:rsidR="00C02DB8" w:rsidRPr="00040E32" w:rsidRDefault="00C02DB8" w:rsidP="00C02DB8">
      <w:pPr>
        <w:ind w:left="720"/>
        <w:rPr>
          <w:i/>
          <w:iCs/>
        </w:rPr>
      </w:pPr>
      <w:r w:rsidRPr="00040E32">
        <w:rPr>
          <w:i/>
          <w:iCs/>
        </w:rPr>
        <w:t>“We propose to change the free float required under our premium and standard Listing Rules from 25% to 10% both at listing and as a continuing obligation. Data suggests that a significant number of main global IPOs take place at a free float of below 25% but very few at free float of below 10%. If we reduced our requirements to 10%, we would therefore allow most issuers flexibility to structure their IPOs in the way that suits them.”</w:t>
      </w:r>
    </w:p>
    <w:p w14:paraId="2AE757BD" w14:textId="0FCCFD65" w:rsidR="002F1E36" w:rsidRPr="00A4592B" w:rsidRDefault="002F1E36" w:rsidP="002F1E36">
      <w:pPr>
        <w:jc w:val="both"/>
        <w:rPr>
          <w:rFonts w:cstheme="minorHAnsi"/>
          <w:color w:val="000000"/>
          <w:shd w:val="clear" w:color="auto" w:fill="FFFFFF"/>
        </w:rPr>
      </w:pPr>
      <w:r w:rsidRPr="00291E74">
        <w:rPr>
          <w:rFonts w:cstheme="minorHAnsi"/>
          <w:color w:val="000000"/>
          <w:shd w:val="clear" w:color="auto" w:fill="FFFFFF"/>
        </w:rPr>
        <w:t>On 2 December 2021, the FCA has confirmed a series of rule changes to ensure that the UK’s public markets remain a trusted and attractive place to list successful companies, providing opportunities for companies to grow from which investors will benefit. </w:t>
      </w:r>
      <w:r>
        <w:rPr>
          <w:rFonts w:cstheme="minorHAnsi"/>
          <w:color w:val="000000"/>
          <w:shd w:val="clear" w:color="auto" w:fill="FFFFFF"/>
        </w:rPr>
        <w:t>One of which, is</w:t>
      </w:r>
      <w:r w:rsidRPr="00291E74">
        <w:rPr>
          <w:rFonts w:cstheme="minorHAnsi"/>
          <w:color w:val="000000"/>
        </w:rPr>
        <w:t xml:space="preserve"> the reduction in the amount of shares an issuer is required to have in public hands (free float) from 25% to 10%, reducing potential barriers for issuers created by current requirements.</w:t>
      </w:r>
    </w:p>
    <w:p w14:paraId="081DB525" w14:textId="77777777" w:rsidR="002F1E36" w:rsidRPr="00291E74" w:rsidRDefault="002F1E36" w:rsidP="002F1E36">
      <w:pPr>
        <w:pStyle w:val="NormalWeb"/>
        <w:shd w:val="clear" w:color="auto" w:fill="FFFFFF"/>
        <w:jc w:val="both"/>
        <w:rPr>
          <w:rFonts w:asciiTheme="minorHAnsi" w:hAnsiTheme="minorHAnsi" w:cstheme="minorHAnsi"/>
          <w:color w:val="000000"/>
          <w:sz w:val="22"/>
          <w:szCs w:val="22"/>
        </w:rPr>
      </w:pPr>
      <w:r w:rsidRPr="00291E74">
        <w:rPr>
          <w:rFonts w:asciiTheme="minorHAnsi" w:hAnsiTheme="minorHAnsi" w:cstheme="minorHAnsi"/>
          <w:color w:val="000000"/>
          <w:sz w:val="22"/>
          <w:szCs w:val="22"/>
          <w:shd w:val="clear" w:color="auto" w:fill="FFFFFF"/>
        </w:rPr>
        <w:t>The new rules come into force on 3 December 2021.</w:t>
      </w:r>
      <w:r>
        <w:rPr>
          <w:rStyle w:val="FootnoteReference"/>
          <w:rFonts w:asciiTheme="minorHAnsi" w:hAnsiTheme="minorHAnsi" w:cstheme="minorHAnsi"/>
          <w:color w:val="000000"/>
          <w:sz w:val="22"/>
          <w:szCs w:val="22"/>
          <w:shd w:val="clear" w:color="auto" w:fill="FFFFFF"/>
        </w:rPr>
        <w:footnoteReference w:id="5"/>
      </w:r>
    </w:p>
    <w:p w14:paraId="76BB0ADB" w14:textId="77777777" w:rsidR="002F1E36" w:rsidRPr="004405B3" w:rsidRDefault="002F1E36" w:rsidP="002F1E36">
      <w:pPr>
        <w:jc w:val="both"/>
        <w:rPr>
          <w:rFonts w:cstheme="minorHAnsi"/>
        </w:rPr>
      </w:pPr>
      <w:r w:rsidRPr="004405B3">
        <w:rPr>
          <w:rFonts w:cstheme="minorHAnsi"/>
        </w:rPr>
        <w:t>The EU is also reconsidering its free float requirements through the EU Report</w:t>
      </w:r>
      <w:r>
        <w:rPr>
          <w:rFonts w:cstheme="minorHAnsi"/>
        </w:rPr>
        <w:t>.</w:t>
      </w:r>
      <w:r>
        <w:rPr>
          <w:rStyle w:val="FootnoteReference"/>
          <w:rFonts w:cstheme="minorHAnsi"/>
        </w:rPr>
        <w:footnoteReference w:id="6"/>
      </w:r>
      <w:r w:rsidRPr="004405B3">
        <w:rPr>
          <w:rFonts w:cstheme="minorHAnsi"/>
        </w:rPr>
        <w:t xml:space="preserve"> This targeted consultation is part of </w:t>
      </w:r>
      <w:r>
        <w:rPr>
          <w:rFonts w:cstheme="minorHAnsi"/>
        </w:rPr>
        <w:t xml:space="preserve">the EU </w:t>
      </w:r>
      <w:r w:rsidRPr="004405B3">
        <w:rPr>
          <w:rFonts w:cstheme="minorHAnsi"/>
        </w:rPr>
        <w:t xml:space="preserve">Commission’s initiative aiming to make listing of both equity and non-equity securities on EU public markets more attractive for companies, </w:t>
      </w:r>
      <w:proofErr w:type="gramStart"/>
      <w:r w:rsidRPr="004405B3">
        <w:rPr>
          <w:rFonts w:cstheme="minorHAnsi"/>
        </w:rPr>
        <w:t>in particular small</w:t>
      </w:r>
      <w:proofErr w:type="gramEnd"/>
      <w:r w:rsidRPr="004405B3">
        <w:rPr>
          <w:rFonts w:cstheme="minorHAnsi"/>
        </w:rPr>
        <w:t xml:space="preserve"> and medium-sized enterprises. This would make it easier for EU issuers to finance their activity and to grow, innovate and create jobs, while preserving a high level of investor protection and market integrity.</w:t>
      </w:r>
    </w:p>
    <w:p w14:paraId="09155F6D" w14:textId="77777777" w:rsidR="002F1E36" w:rsidRDefault="002F1E36" w:rsidP="002F1E36">
      <w:pPr>
        <w:jc w:val="both"/>
      </w:pPr>
      <w:r>
        <w:t>Currently Member States have discretion in setting the percentage of the shares that would be needed to be floated at the time of listing. Accordingly, these percentages in the EU-27 vary from 5% to 45%.</w:t>
      </w:r>
    </w:p>
    <w:p w14:paraId="0E91A9EE" w14:textId="77777777" w:rsidR="002F1E36" w:rsidRDefault="002F1E36" w:rsidP="002F1E36">
      <w:pPr>
        <w:jc w:val="both"/>
      </w:pPr>
      <w:r>
        <w:lastRenderedPageBreak/>
        <w:t xml:space="preserve">The JSE currently requires Main Board listed companies to have a free float of 20%. </w:t>
      </w:r>
    </w:p>
    <w:p w14:paraId="3E2A0AF6" w14:textId="77777777" w:rsidR="002F1E36" w:rsidRDefault="002F1E36" w:rsidP="002F1E36">
      <w:pPr>
        <w:jc w:val="both"/>
      </w:pPr>
      <w:r>
        <w:t>Considering the renewed focus from leading markets on free float it will be prudent for the JSE to reconsider the appropriateness of its free float requirements for Main Board listed companies, considering that this percentage of free float has remained largely unchanged for more than 20 years.</w:t>
      </w:r>
    </w:p>
    <w:p w14:paraId="2DB330CE" w14:textId="77777777" w:rsidR="002F1E36" w:rsidRDefault="002F1E36" w:rsidP="002F1E36">
      <w:pPr>
        <w:jc w:val="both"/>
      </w:pPr>
      <w:r>
        <w:t xml:space="preserve">It is vital that the JSE reconsiders its free float requirements </w:t>
      </w:r>
      <w:proofErr w:type="gramStart"/>
      <w:r>
        <w:t>in order to</w:t>
      </w:r>
      <w:proofErr w:type="gramEnd"/>
      <w:r>
        <w:t xml:space="preserve"> remain competitive as a primary and secondary listings jurisdiction.</w:t>
      </w:r>
    </w:p>
    <w:p w14:paraId="5A1E4924" w14:textId="59C0291A" w:rsidR="0088069A" w:rsidRPr="0088069A" w:rsidRDefault="002F1E36" w:rsidP="0088069A">
      <w:pPr>
        <w:jc w:val="both"/>
        <w:rPr>
          <w:b/>
          <w:bCs/>
        </w:rPr>
      </w:pPr>
      <w:r>
        <w:rPr>
          <w:b/>
          <w:bCs/>
        </w:rPr>
        <w:t xml:space="preserve">Part </w:t>
      </w:r>
      <w:r w:rsidR="007334B0">
        <w:rPr>
          <w:b/>
          <w:bCs/>
        </w:rPr>
        <w:t>C</w:t>
      </w:r>
      <w:r>
        <w:rPr>
          <w:b/>
          <w:bCs/>
        </w:rPr>
        <w:t xml:space="preserve">: </w:t>
      </w:r>
      <w:r w:rsidR="0088069A" w:rsidRPr="0088069A">
        <w:rPr>
          <w:b/>
          <w:bCs/>
        </w:rPr>
        <w:t>Free Float</w:t>
      </w:r>
      <w:r>
        <w:rPr>
          <w:b/>
          <w:bCs/>
        </w:rPr>
        <w:t xml:space="preserve"> Assessment</w:t>
      </w:r>
    </w:p>
    <w:p w14:paraId="6B19BF79" w14:textId="1116AA44" w:rsidR="0088069A" w:rsidRDefault="0088069A" w:rsidP="0088069A">
      <w:pPr>
        <w:jc w:val="both"/>
      </w:pPr>
      <w:r>
        <w:t>Paragraph 4.25 of th</w:t>
      </w:r>
      <w:r w:rsidR="0080082C">
        <w:t>e</w:t>
      </w:r>
      <w:r>
        <w:t xml:space="preserve"> Requirements deal</w:t>
      </w:r>
      <w:r w:rsidR="0080082C">
        <w:t>s</w:t>
      </w:r>
      <w:r>
        <w:t xml:space="preserve"> with the holdings that will qualify as free float. One type of holdings of securities which does not qualify as free float is any holdings of 10% or more in the securities of an issuer.</w:t>
      </w:r>
      <w:r>
        <w:rPr>
          <w:rStyle w:val="FootnoteReference"/>
        </w:rPr>
        <w:footnoteReference w:id="7"/>
      </w:r>
      <w:r>
        <w:t xml:space="preserve"> It is very common for</w:t>
      </w:r>
      <w:r w:rsidR="00DE7707">
        <w:t xml:space="preserve"> </w:t>
      </w:r>
      <w:r w:rsidR="00DA15F2">
        <w:t xml:space="preserve">shareholders </w:t>
      </w:r>
      <w:r>
        <w:t xml:space="preserve">to hold more than 10% in an applicant issuer on listing, which will then </w:t>
      </w:r>
      <w:r w:rsidR="003B32D5">
        <w:t xml:space="preserve">automatically </w:t>
      </w:r>
      <w:r>
        <w:t>exclude them from the free float assessment</w:t>
      </w:r>
      <w:r w:rsidR="00B30359">
        <w:t xml:space="preserve"> purely based on the size of the holdings</w:t>
      </w:r>
      <w:r>
        <w:t xml:space="preserve">. </w:t>
      </w:r>
    </w:p>
    <w:p w14:paraId="55D3652A" w14:textId="4E50C054" w:rsidR="0088069A" w:rsidRDefault="0088069A" w:rsidP="0088069A">
      <w:pPr>
        <w:jc w:val="both"/>
      </w:pPr>
      <w:r>
        <w:t>However, under certain circumstances fund managers</w:t>
      </w:r>
      <w:r w:rsidR="002F2F3D">
        <w:t xml:space="preserve"> or portfolio managers </w:t>
      </w:r>
      <w:r>
        <w:t>holding 10% or more can qualify for free float provided the interest is held in more than one fund, and the separate funds hold less than 10% of the securities in the applicant issuer.</w:t>
      </w:r>
      <w:r>
        <w:rPr>
          <w:rStyle w:val="FootnoteReference"/>
        </w:rPr>
        <w:footnoteReference w:id="8"/>
      </w:r>
      <w:r>
        <w:t xml:space="preserve"> This exemption for the interests of 10% or more held by a fund manager</w:t>
      </w:r>
      <w:r w:rsidR="002F2F3D">
        <w:t xml:space="preserve"> and portfolio manager </w:t>
      </w:r>
      <w:r>
        <w:t>to qualify for free float is rather limited and complex</w:t>
      </w:r>
      <w:r w:rsidR="00A27644">
        <w:t xml:space="preserve"> to apply</w:t>
      </w:r>
      <w:r>
        <w:t>.</w:t>
      </w:r>
    </w:p>
    <w:p w14:paraId="0DB5BA21" w14:textId="46357999" w:rsidR="006B34FE" w:rsidRDefault="0088069A" w:rsidP="0088069A">
      <w:pPr>
        <w:jc w:val="both"/>
      </w:pPr>
      <w:r>
        <w:t xml:space="preserve">Considering the entrenched and established presence of institutional investors in our market, </w:t>
      </w:r>
      <w:r w:rsidR="00F84707">
        <w:t xml:space="preserve">the proposed amendments aim to </w:t>
      </w:r>
      <w:r>
        <w:t xml:space="preserve">better assist applicant </w:t>
      </w:r>
      <w:r w:rsidR="0046003E">
        <w:t>issuer</w:t>
      </w:r>
      <w:r w:rsidR="00F84707">
        <w:t>s</w:t>
      </w:r>
      <w:r w:rsidR="0046003E">
        <w:t xml:space="preserve"> </w:t>
      </w:r>
      <w:r>
        <w:t>meeting the free float requirement on listing</w:t>
      </w:r>
      <w:r w:rsidR="00F84707">
        <w:t xml:space="preserve"> by not</w:t>
      </w:r>
      <w:r>
        <w:t xml:space="preserve"> automatically exclud</w:t>
      </w:r>
      <w:r w:rsidR="00F84707">
        <w:t xml:space="preserve">ing interests held by </w:t>
      </w:r>
      <w:r>
        <w:t>fund managers</w:t>
      </w:r>
      <w:r w:rsidR="0046003E">
        <w:t xml:space="preserve"> and portfolio managers</w:t>
      </w:r>
      <w:r>
        <w:t xml:space="preserve"> holding more than 10% from free float</w:t>
      </w:r>
      <w:r w:rsidR="00F84707">
        <w:t>.</w:t>
      </w:r>
      <w:r w:rsidR="006B34FE">
        <w:t xml:space="preserve"> </w:t>
      </w:r>
    </w:p>
    <w:p w14:paraId="7FAAB6CE" w14:textId="1C870A89" w:rsidR="00EB6D35" w:rsidRPr="002F1E36" w:rsidRDefault="00EB6D35" w:rsidP="0088069A">
      <w:pPr>
        <w:jc w:val="both"/>
        <w:rPr>
          <w:u w:val="single"/>
        </w:rPr>
      </w:pPr>
      <w:r w:rsidRPr="002F1E36">
        <w:rPr>
          <w:u w:val="single"/>
        </w:rPr>
        <w:t>Research</w:t>
      </w:r>
    </w:p>
    <w:p w14:paraId="285FEF7C" w14:textId="2DA850C2" w:rsidR="00C421DF" w:rsidRDefault="00EB6D35" w:rsidP="0088069A">
      <w:pPr>
        <w:jc w:val="both"/>
      </w:pPr>
      <w:r>
        <w:t>T</w:t>
      </w:r>
      <w:r w:rsidR="00C421DF">
        <w:t xml:space="preserve">he JSE </w:t>
      </w:r>
      <w:r w:rsidR="00324DF7">
        <w:t xml:space="preserve">has </w:t>
      </w:r>
      <w:r w:rsidR="00C421DF">
        <w:t>undertaken research on the matter and have found that the Financial Conduct Authority</w:t>
      </w:r>
      <w:r w:rsidR="00324DF7">
        <w:t xml:space="preserve"> (UK)</w:t>
      </w:r>
      <w:r w:rsidR="00C421DF">
        <w:t xml:space="preserve"> has a similar provision to the JSE whereby </w:t>
      </w:r>
      <w:r w:rsidR="00D96F38">
        <w:t xml:space="preserve">investment managers </w:t>
      </w:r>
      <w:r w:rsidR="00C421DF">
        <w:t xml:space="preserve">are not </w:t>
      </w:r>
      <w:proofErr w:type="spellStart"/>
      <w:r w:rsidR="00C421DF">
        <w:t>recognised</w:t>
      </w:r>
      <w:proofErr w:type="spellEnd"/>
      <w:r w:rsidR="00C421DF">
        <w:t xml:space="preserve"> </w:t>
      </w:r>
      <w:r w:rsidR="00E547E4">
        <w:t>for purposes of</w:t>
      </w:r>
      <w:r w:rsidR="00C421DF">
        <w:t xml:space="preserve"> free float</w:t>
      </w:r>
      <w:r w:rsidR="0021456F">
        <w:t>:</w:t>
      </w:r>
    </w:p>
    <w:p w14:paraId="11E3B427" w14:textId="0561EEA3" w:rsidR="00502631" w:rsidRDefault="00502631" w:rsidP="00502631">
      <w:pPr>
        <w:pStyle w:val="ListParagraph"/>
        <w:jc w:val="both"/>
        <w:rPr>
          <w:rFonts w:asciiTheme="minorHAnsi" w:hAnsiTheme="minorHAnsi" w:cstheme="minorHAnsi"/>
          <w:i/>
          <w:iCs/>
          <w:sz w:val="22"/>
          <w:szCs w:val="22"/>
          <w:shd w:val="clear" w:color="auto" w:fill="FFFFFF"/>
        </w:rPr>
      </w:pPr>
      <w:r>
        <w:lastRenderedPageBreak/>
        <w:t>“</w:t>
      </w:r>
      <w:r w:rsidRPr="00502631">
        <w:rPr>
          <w:rFonts w:asciiTheme="minorHAnsi" w:hAnsiTheme="minorHAnsi" w:cstheme="minorHAnsi"/>
          <w:i/>
          <w:iCs/>
          <w:sz w:val="22"/>
          <w:szCs w:val="22"/>
          <w:shd w:val="clear" w:color="auto" w:fill="FFFFFF"/>
        </w:rPr>
        <w:t>When calculating the number of </w:t>
      </w:r>
      <w:hyperlink r:id="rId9" w:history="1">
        <w:r w:rsidRPr="00502631">
          <w:rPr>
            <w:rStyle w:val="Hyperlink"/>
            <w:rFonts w:asciiTheme="minorHAnsi" w:hAnsiTheme="minorHAnsi" w:cstheme="minorHAnsi"/>
            <w:i/>
            <w:iCs/>
            <w:color w:val="auto"/>
            <w:sz w:val="22"/>
            <w:szCs w:val="22"/>
            <w:u w:val="none"/>
            <w:bdr w:val="none" w:sz="0" w:space="0" w:color="auto" w:frame="1"/>
            <w:shd w:val="clear" w:color="auto" w:fill="FFFFFF"/>
          </w:rPr>
          <w:t>shares</w:t>
        </w:r>
      </w:hyperlink>
      <w:r w:rsidRPr="00502631">
        <w:rPr>
          <w:rFonts w:asciiTheme="minorHAnsi" w:hAnsiTheme="minorHAnsi" w:cstheme="minorHAnsi"/>
          <w:i/>
          <w:iCs/>
          <w:sz w:val="22"/>
          <w:szCs w:val="22"/>
          <w:shd w:val="clear" w:color="auto" w:fill="FFFFFF"/>
        </w:rPr>
        <w:t> for the purposes of </w:t>
      </w:r>
      <w:hyperlink r:id="rId10" w:anchor="D13020" w:history="1">
        <w:r w:rsidRPr="00502631">
          <w:rPr>
            <w:rStyle w:val="Hyperlink"/>
            <w:rFonts w:asciiTheme="minorHAnsi" w:hAnsiTheme="minorHAnsi" w:cstheme="minorHAnsi"/>
            <w:i/>
            <w:iCs/>
            <w:color w:val="auto"/>
            <w:sz w:val="22"/>
            <w:szCs w:val="22"/>
            <w:u w:val="none"/>
            <w:bdr w:val="none" w:sz="0" w:space="0" w:color="auto" w:frame="1"/>
            <w:shd w:val="clear" w:color="auto" w:fill="FFFFFF"/>
          </w:rPr>
          <w:t>LR 6.14.3R(1)</w:t>
        </w:r>
        <w:r w:rsidR="0021456F">
          <w:rPr>
            <w:rStyle w:val="Hyperlink"/>
            <w:rFonts w:asciiTheme="minorHAnsi" w:hAnsiTheme="minorHAnsi" w:cstheme="minorHAnsi"/>
            <w:i/>
            <w:iCs/>
            <w:color w:val="auto"/>
            <w:sz w:val="22"/>
            <w:szCs w:val="22"/>
            <w:u w:val="none"/>
            <w:bdr w:val="none" w:sz="0" w:space="0" w:color="auto" w:frame="1"/>
            <w:shd w:val="clear" w:color="auto" w:fill="FFFFFF"/>
          </w:rPr>
          <w:t>€</w:t>
        </w:r>
      </w:hyperlink>
      <w:r w:rsidRPr="00502631">
        <w:rPr>
          <w:rFonts w:asciiTheme="minorHAnsi" w:hAnsiTheme="minorHAnsi" w:cstheme="minorHAnsi"/>
          <w:i/>
          <w:iCs/>
          <w:sz w:val="22"/>
          <w:szCs w:val="22"/>
          <w:shd w:val="clear" w:color="auto" w:fill="FFFFFF"/>
        </w:rPr>
        <w:t>, holdings of </w:t>
      </w:r>
      <w:hyperlink r:id="rId11" w:history="1">
        <w:r w:rsidRPr="00502631">
          <w:rPr>
            <w:rStyle w:val="Hyperlink"/>
            <w:rFonts w:asciiTheme="minorHAnsi" w:hAnsiTheme="minorHAnsi" w:cstheme="minorHAnsi"/>
            <w:i/>
            <w:iCs/>
            <w:color w:val="auto"/>
            <w:sz w:val="22"/>
            <w:szCs w:val="22"/>
            <w:u w:val="none"/>
            <w:bdr w:val="none" w:sz="0" w:space="0" w:color="auto" w:frame="1"/>
            <w:shd w:val="clear" w:color="auto" w:fill="FFFFFF"/>
          </w:rPr>
          <w:t>investment managers</w:t>
        </w:r>
      </w:hyperlink>
      <w:r w:rsidRPr="00502631">
        <w:rPr>
          <w:rFonts w:asciiTheme="minorHAnsi" w:hAnsiTheme="minorHAnsi" w:cstheme="minorHAnsi"/>
          <w:i/>
          <w:iCs/>
          <w:sz w:val="22"/>
          <w:szCs w:val="22"/>
          <w:shd w:val="clear" w:color="auto" w:fill="FFFFFF"/>
        </w:rPr>
        <w:t> in the same </w:t>
      </w:r>
      <w:hyperlink r:id="rId12" w:history="1">
        <w:r w:rsidRPr="00502631">
          <w:rPr>
            <w:rStyle w:val="Hyperlink"/>
            <w:rFonts w:asciiTheme="minorHAnsi" w:hAnsiTheme="minorHAnsi" w:cstheme="minorHAnsi"/>
            <w:i/>
            <w:iCs/>
            <w:color w:val="auto"/>
            <w:sz w:val="22"/>
            <w:szCs w:val="22"/>
            <w:u w:val="none"/>
            <w:bdr w:val="none" w:sz="0" w:space="0" w:color="auto" w:frame="1"/>
            <w:shd w:val="clear" w:color="auto" w:fill="FFFFFF"/>
          </w:rPr>
          <w:t>group</w:t>
        </w:r>
      </w:hyperlink>
      <w:r w:rsidRPr="00502631">
        <w:rPr>
          <w:rFonts w:asciiTheme="minorHAnsi" w:hAnsiTheme="minorHAnsi" w:cstheme="minorHAnsi"/>
          <w:i/>
          <w:iCs/>
          <w:sz w:val="22"/>
          <w:szCs w:val="22"/>
          <w:shd w:val="clear" w:color="auto" w:fill="FFFFFF"/>
        </w:rPr>
        <w:t> where investment decisions are made independently by the individual in control of the relevant fund and those decisions are unfettered by the </w:t>
      </w:r>
      <w:hyperlink r:id="rId13" w:history="1">
        <w:r w:rsidRPr="00502631">
          <w:rPr>
            <w:rStyle w:val="Hyperlink"/>
            <w:rFonts w:asciiTheme="minorHAnsi" w:hAnsiTheme="minorHAnsi" w:cstheme="minorHAnsi"/>
            <w:i/>
            <w:iCs/>
            <w:color w:val="auto"/>
            <w:sz w:val="22"/>
            <w:szCs w:val="22"/>
            <w:u w:val="none"/>
            <w:bdr w:val="none" w:sz="0" w:space="0" w:color="auto" w:frame="1"/>
            <w:shd w:val="clear" w:color="auto" w:fill="FFFFFF"/>
          </w:rPr>
          <w:t>group</w:t>
        </w:r>
      </w:hyperlink>
      <w:r w:rsidRPr="00502631">
        <w:rPr>
          <w:rFonts w:asciiTheme="minorHAnsi" w:hAnsiTheme="minorHAnsi" w:cstheme="minorHAnsi"/>
          <w:i/>
          <w:iCs/>
          <w:sz w:val="22"/>
          <w:szCs w:val="22"/>
          <w:shd w:val="clear" w:color="auto" w:fill="FFFFFF"/>
        </w:rPr>
        <w:t> to which the </w:t>
      </w:r>
      <w:hyperlink r:id="rId14" w:history="1">
        <w:r w:rsidRPr="00502631">
          <w:rPr>
            <w:rStyle w:val="Hyperlink"/>
            <w:rFonts w:asciiTheme="minorHAnsi" w:hAnsiTheme="minorHAnsi" w:cstheme="minorHAnsi"/>
            <w:i/>
            <w:iCs/>
            <w:color w:val="auto"/>
            <w:sz w:val="22"/>
            <w:szCs w:val="22"/>
            <w:u w:val="none"/>
            <w:bdr w:val="none" w:sz="0" w:space="0" w:color="auto" w:frame="1"/>
            <w:shd w:val="clear" w:color="auto" w:fill="FFFFFF"/>
          </w:rPr>
          <w:t>investment manager</w:t>
        </w:r>
      </w:hyperlink>
      <w:r w:rsidRPr="00502631">
        <w:rPr>
          <w:rFonts w:asciiTheme="minorHAnsi" w:hAnsiTheme="minorHAnsi" w:cstheme="minorHAnsi"/>
          <w:i/>
          <w:iCs/>
          <w:sz w:val="22"/>
          <w:szCs w:val="22"/>
          <w:shd w:val="clear" w:color="auto" w:fill="FFFFFF"/>
        </w:rPr>
        <w:t> belongs will be disregarded.</w:t>
      </w:r>
      <w:r>
        <w:rPr>
          <w:rFonts w:asciiTheme="minorHAnsi" w:hAnsiTheme="minorHAnsi" w:cstheme="minorHAnsi"/>
          <w:i/>
          <w:iCs/>
          <w:sz w:val="22"/>
          <w:szCs w:val="22"/>
          <w:shd w:val="clear" w:color="auto" w:fill="FFFFFF"/>
        </w:rPr>
        <w:t>”</w:t>
      </w:r>
      <w:r>
        <w:rPr>
          <w:rStyle w:val="FootnoteReference"/>
          <w:rFonts w:asciiTheme="minorHAnsi" w:hAnsiTheme="minorHAnsi" w:cstheme="minorHAnsi"/>
          <w:i/>
          <w:iCs/>
          <w:sz w:val="22"/>
          <w:szCs w:val="22"/>
          <w:shd w:val="clear" w:color="auto" w:fill="FFFFFF"/>
        </w:rPr>
        <w:footnoteReference w:id="9"/>
      </w:r>
    </w:p>
    <w:p w14:paraId="46A44DAB" w14:textId="28446E04" w:rsidR="00724BF7" w:rsidRDefault="00724BF7" w:rsidP="00502631">
      <w:pPr>
        <w:pStyle w:val="ListParagraph"/>
        <w:jc w:val="both"/>
        <w:rPr>
          <w:rFonts w:asciiTheme="minorHAnsi" w:hAnsiTheme="minorHAnsi" w:cstheme="minorHAnsi"/>
          <w:i/>
          <w:iCs/>
          <w:sz w:val="22"/>
          <w:szCs w:val="22"/>
          <w:shd w:val="clear" w:color="auto" w:fill="FFFFFF"/>
        </w:rPr>
      </w:pPr>
    </w:p>
    <w:p w14:paraId="643D6193" w14:textId="6E3770EC" w:rsidR="00724BF7" w:rsidRDefault="00724BF7" w:rsidP="00B653A2">
      <w:pPr>
        <w:jc w:val="both"/>
      </w:pPr>
      <w:r>
        <w:rPr>
          <w:rFonts w:cstheme="minorHAnsi"/>
        </w:rPr>
        <w:t>However, the Singapore Stock Exchange</w:t>
      </w:r>
      <w:r w:rsidR="00EF3478">
        <w:rPr>
          <w:rFonts w:cstheme="minorHAnsi"/>
        </w:rPr>
        <w:t xml:space="preserve"> (“</w:t>
      </w:r>
      <w:r w:rsidR="00EF3478" w:rsidRPr="00EF3478">
        <w:rPr>
          <w:rFonts w:cstheme="minorHAnsi"/>
          <w:b/>
          <w:bCs/>
        </w:rPr>
        <w:t>SGX</w:t>
      </w:r>
      <w:r w:rsidR="00EF3478">
        <w:rPr>
          <w:rFonts w:cstheme="minorHAnsi"/>
        </w:rPr>
        <w:t>”)</w:t>
      </w:r>
      <w:r>
        <w:rPr>
          <w:rFonts w:cstheme="minorHAnsi"/>
        </w:rPr>
        <w:t>, the Hong Kong Stock Exchange</w:t>
      </w:r>
      <w:r w:rsidR="00EF3478">
        <w:rPr>
          <w:rFonts w:cstheme="minorHAnsi"/>
        </w:rPr>
        <w:t xml:space="preserve"> (“</w:t>
      </w:r>
      <w:r w:rsidR="00EF3478" w:rsidRPr="00EF3478">
        <w:rPr>
          <w:rFonts w:cstheme="minorHAnsi"/>
          <w:b/>
          <w:bCs/>
        </w:rPr>
        <w:t>HKEX</w:t>
      </w:r>
      <w:r w:rsidR="00EF3478">
        <w:rPr>
          <w:rFonts w:cstheme="minorHAnsi"/>
        </w:rPr>
        <w:t>”)</w:t>
      </w:r>
      <w:r>
        <w:rPr>
          <w:rFonts w:cstheme="minorHAnsi"/>
        </w:rPr>
        <w:t xml:space="preserve"> and the Australian Stock Exchange</w:t>
      </w:r>
      <w:r w:rsidR="00EF3478">
        <w:rPr>
          <w:rFonts w:cstheme="minorHAnsi"/>
        </w:rPr>
        <w:t xml:space="preserve"> (“</w:t>
      </w:r>
      <w:r w:rsidR="00EF3478" w:rsidRPr="00EF3478">
        <w:rPr>
          <w:rFonts w:cstheme="minorHAnsi"/>
          <w:b/>
          <w:bCs/>
        </w:rPr>
        <w:t>ASX</w:t>
      </w:r>
      <w:r w:rsidR="00EF3478">
        <w:rPr>
          <w:rFonts w:cstheme="minorHAnsi"/>
        </w:rPr>
        <w:t>”)</w:t>
      </w:r>
      <w:r>
        <w:rPr>
          <w:rFonts w:cstheme="minorHAnsi"/>
        </w:rPr>
        <w:t xml:space="preserve"> have no such limitation. It appears that the focus is more aimed </w:t>
      </w:r>
      <w:r w:rsidR="00EF3478">
        <w:rPr>
          <w:rFonts w:cstheme="minorHAnsi"/>
        </w:rPr>
        <w:t>at</w:t>
      </w:r>
      <w:r w:rsidR="00B653A2">
        <w:rPr>
          <w:rFonts w:cstheme="minorHAnsi"/>
        </w:rPr>
        <w:t xml:space="preserve"> the shareholder’s </w:t>
      </w:r>
      <w:r w:rsidR="00EF3478">
        <w:rPr>
          <w:rFonts w:cstheme="minorHAnsi"/>
        </w:rPr>
        <w:t>proximity</w:t>
      </w:r>
      <w:r w:rsidR="00840406">
        <w:rPr>
          <w:rFonts w:cstheme="minorHAnsi"/>
        </w:rPr>
        <w:t>/association</w:t>
      </w:r>
      <w:r w:rsidR="00EF3478">
        <w:rPr>
          <w:rFonts w:cstheme="minorHAnsi"/>
        </w:rPr>
        <w:t xml:space="preserve"> to the board of directors of the applicant issuer and their associates</w:t>
      </w:r>
      <w:r w:rsidR="00840406">
        <w:rPr>
          <w:rFonts w:cstheme="minorHAnsi"/>
        </w:rPr>
        <w:t xml:space="preserve">, rather than the general </w:t>
      </w:r>
      <w:r w:rsidR="00DF65C2">
        <w:rPr>
          <w:rFonts w:cstheme="minorHAnsi"/>
        </w:rPr>
        <w:t xml:space="preserve">blanket exclusion linked to </w:t>
      </w:r>
      <w:r w:rsidR="0003562B">
        <w:rPr>
          <w:rFonts w:cstheme="minorHAnsi"/>
        </w:rPr>
        <w:t>size of the</w:t>
      </w:r>
      <w:r w:rsidR="00DF65C2">
        <w:rPr>
          <w:rFonts w:cstheme="minorHAnsi"/>
        </w:rPr>
        <w:t xml:space="preserve"> holdings</w:t>
      </w:r>
      <w:r w:rsidR="00B653A2">
        <w:t>.</w:t>
      </w:r>
    </w:p>
    <w:p w14:paraId="49A017F8" w14:textId="541E5FE6" w:rsidR="00707909" w:rsidRDefault="00707909" w:rsidP="00B653A2">
      <w:pPr>
        <w:jc w:val="both"/>
      </w:pPr>
      <w:r>
        <w:t>Herewith a summary on the</w:t>
      </w:r>
      <w:r w:rsidR="008466BC">
        <w:t xml:space="preserve"> researched</w:t>
      </w:r>
      <w:r>
        <w:t xml:space="preserve"> free float assessments:</w:t>
      </w:r>
    </w:p>
    <w:p w14:paraId="4476B916" w14:textId="12BC52B8" w:rsidR="00040855" w:rsidRPr="00E4055F" w:rsidRDefault="00707909" w:rsidP="00724BF7">
      <w:pPr>
        <w:rPr>
          <w:rFonts w:cstheme="minorHAnsi"/>
          <w:b/>
          <w:bCs/>
        </w:rPr>
      </w:pPr>
      <w:r>
        <w:rPr>
          <w:rFonts w:cstheme="minorHAnsi"/>
          <w:b/>
          <w:bCs/>
        </w:rPr>
        <w:t>1</w:t>
      </w:r>
      <w:r>
        <w:rPr>
          <w:rFonts w:cstheme="minorHAnsi"/>
          <w:b/>
          <w:bCs/>
        </w:rPr>
        <w:tab/>
      </w:r>
      <w:r w:rsidR="00040855" w:rsidRPr="00E4055F">
        <w:rPr>
          <w:rFonts w:cstheme="minorHAnsi"/>
          <w:b/>
          <w:bCs/>
        </w:rPr>
        <w:t>SGX</w:t>
      </w:r>
    </w:p>
    <w:p w14:paraId="1D776ACF" w14:textId="4BB92C95" w:rsidR="00040855" w:rsidRPr="006B1D07" w:rsidRDefault="00DD7DF2" w:rsidP="00724BF7">
      <w:pPr>
        <w:rPr>
          <w:rFonts w:cstheme="minorHAnsi"/>
        </w:rPr>
      </w:pPr>
      <w:r w:rsidRPr="006B1D07">
        <w:rPr>
          <w:rFonts w:cstheme="minorHAnsi"/>
          <w:shd w:val="clear" w:color="auto" w:fill="FFFFFF"/>
        </w:rPr>
        <w:t>An issuer must ensure that at least 10% of the total number of issued shares (excluding preference shares, convertible equity securities and treasury shares) in a class that is listed is at all times held by the public.</w:t>
      </w:r>
      <w:r w:rsidR="00E4055F" w:rsidRPr="006B1D07">
        <w:rPr>
          <w:rStyle w:val="FootnoteReference"/>
          <w:rFonts w:cstheme="minorHAnsi"/>
          <w:shd w:val="clear" w:color="auto" w:fill="FFFFFF"/>
        </w:rPr>
        <w:footnoteReference w:id="10"/>
      </w:r>
    </w:p>
    <w:p w14:paraId="519AAE3B" w14:textId="48858596" w:rsidR="00A66335" w:rsidRPr="006B1D07" w:rsidRDefault="00DD7DF2" w:rsidP="00A66335">
      <w:pPr>
        <w:rPr>
          <w:rFonts w:cstheme="minorHAnsi"/>
        </w:rPr>
      </w:pPr>
      <w:r w:rsidRPr="006B1D07">
        <w:rPr>
          <w:rFonts w:cstheme="minorHAnsi"/>
          <w:shd w:val="clear" w:color="auto" w:fill="FFFFFF"/>
        </w:rPr>
        <w:t>The</w:t>
      </w:r>
      <w:r w:rsidR="00A66335" w:rsidRPr="006B1D07">
        <w:rPr>
          <w:rFonts w:cstheme="minorHAnsi"/>
          <w:shd w:val="clear" w:color="auto" w:fill="FFFFFF"/>
        </w:rPr>
        <w:t xml:space="preserve"> “</w:t>
      </w:r>
      <w:r w:rsidR="00A66335" w:rsidRPr="006B1D07">
        <w:rPr>
          <w:rFonts w:cstheme="minorHAnsi"/>
          <w:i/>
          <w:iCs/>
          <w:shd w:val="clear" w:color="auto" w:fill="FFFFFF"/>
        </w:rPr>
        <w:t>public</w:t>
      </w:r>
      <w:r w:rsidR="00A66335" w:rsidRPr="006B1D07">
        <w:rPr>
          <w:rFonts w:cstheme="minorHAnsi"/>
          <w:shd w:val="clear" w:color="auto" w:fill="FFFFFF"/>
        </w:rPr>
        <w:t>” is defined as</w:t>
      </w:r>
      <w:r w:rsidRPr="006B1D07">
        <w:rPr>
          <w:rFonts w:cstheme="minorHAnsi"/>
          <w:shd w:val="clear" w:color="auto" w:fill="FFFFFF"/>
        </w:rPr>
        <w:t xml:space="preserve"> </w:t>
      </w:r>
      <w:r w:rsidR="00040855" w:rsidRPr="006B1D07">
        <w:rPr>
          <w:rFonts w:cstheme="minorHAnsi"/>
          <w:shd w:val="clear" w:color="auto" w:fill="FFFFFF"/>
        </w:rPr>
        <w:t>persons other th</w:t>
      </w:r>
      <w:r w:rsidR="00395323" w:rsidRPr="006B1D07">
        <w:rPr>
          <w:rFonts w:cstheme="minorHAnsi"/>
          <w:shd w:val="clear" w:color="auto" w:fill="FFFFFF"/>
        </w:rPr>
        <w:t>a</w:t>
      </w:r>
      <w:r w:rsidR="00E4055F" w:rsidRPr="006B1D07">
        <w:rPr>
          <w:rFonts w:cstheme="minorHAnsi"/>
          <w:shd w:val="clear" w:color="auto" w:fill="FFFFFF"/>
        </w:rPr>
        <w:t>n -</w:t>
      </w:r>
    </w:p>
    <w:p w14:paraId="4A480E8B" w14:textId="77777777" w:rsidR="00A66335" w:rsidRPr="00A66335" w:rsidRDefault="00040855" w:rsidP="00A66335">
      <w:pPr>
        <w:pStyle w:val="ListParagraph"/>
        <w:numPr>
          <w:ilvl w:val="0"/>
          <w:numId w:val="6"/>
        </w:numPr>
        <w:rPr>
          <w:rFonts w:asciiTheme="minorHAnsi" w:hAnsiTheme="minorHAnsi" w:cstheme="minorHAnsi"/>
          <w:sz w:val="22"/>
          <w:szCs w:val="22"/>
        </w:rPr>
      </w:pPr>
      <w:r w:rsidRPr="00A66335">
        <w:rPr>
          <w:rFonts w:asciiTheme="minorHAnsi" w:hAnsiTheme="minorHAnsi" w:cstheme="minorHAnsi"/>
          <w:sz w:val="22"/>
          <w:szCs w:val="22"/>
        </w:rPr>
        <w:t xml:space="preserve">directors, chief executive officer, substantial shareholders, or controlling shareholders of the issuer or its subsidiary </w:t>
      </w:r>
      <w:proofErr w:type="gramStart"/>
      <w:r w:rsidRPr="00A66335">
        <w:rPr>
          <w:rFonts w:asciiTheme="minorHAnsi" w:hAnsiTheme="minorHAnsi" w:cstheme="minorHAnsi"/>
          <w:sz w:val="22"/>
          <w:szCs w:val="22"/>
        </w:rPr>
        <w:t>companies;</w:t>
      </w:r>
      <w:proofErr w:type="gramEnd"/>
    </w:p>
    <w:p w14:paraId="19BC7F61" w14:textId="77777777" w:rsidR="00A66335" w:rsidRPr="00A66335" w:rsidRDefault="00040855" w:rsidP="00A66335">
      <w:pPr>
        <w:pStyle w:val="ListParagraph"/>
        <w:numPr>
          <w:ilvl w:val="0"/>
          <w:numId w:val="6"/>
        </w:numPr>
        <w:rPr>
          <w:rFonts w:asciiTheme="minorHAnsi" w:hAnsiTheme="minorHAnsi" w:cstheme="minorHAnsi"/>
          <w:sz w:val="22"/>
          <w:szCs w:val="22"/>
        </w:rPr>
      </w:pPr>
      <w:r w:rsidRPr="00A66335">
        <w:rPr>
          <w:rFonts w:asciiTheme="minorHAnsi" w:hAnsiTheme="minorHAnsi" w:cstheme="minorHAnsi"/>
          <w:sz w:val="22"/>
          <w:szCs w:val="22"/>
        </w:rPr>
        <w:t xml:space="preserve">associates of the persons </w:t>
      </w:r>
      <w:r w:rsidR="00A66335" w:rsidRPr="00A66335">
        <w:rPr>
          <w:rFonts w:asciiTheme="minorHAnsi" w:hAnsiTheme="minorHAnsi" w:cstheme="minorHAnsi"/>
          <w:sz w:val="22"/>
          <w:szCs w:val="22"/>
        </w:rPr>
        <w:t>above</w:t>
      </w:r>
      <w:r w:rsidRPr="00A66335">
        <w:rPr>
          <w:rFonts w:asciiTheme="minorHAnsi" w:hAnsiTheme="minorHAnsi" w:cstheme="minorHAnsi"/>
          <w:sz w:val="22"/>
          <w:szCs w:val="22"/>
        </w:rPr>
        <w:t>; and</w:t>
      </w:r>
    </w:p>
    <w:p w14:paraId="4BAEFE58" w14:textId="594C7115" w:rsidR="00040855" w:rsidRPr="00A66335" w:rsidRDefault="00040855" w:rsidP="00A66335">
      <w:pPr>
        <w:pStyle w:val="ListParagraph"/>
        <w:numPr>
          <w:ilvl w:val="0"/>
          <w:numId w:val="6"/>
        </w:numPr>
        <w:rPr>
          <w:rFonts w:asciiTheme="minorHAnsi" w:hAnsiTheme="minorHAnsi" w:cstheme="minorHAnsi"/>
          <w:sz w:val="22"/>
          <w:szCs w:val="22"/>
        </w:rPr>
      </w:pPr>
      <w:r w:rsidRPr="00A66335">
        <w:rPr>
          <w:rFonts w:asciiTheme="minorHAnsi" w:hAnsiTheme="minorHAnsi" w:cstheme="minorHAnsi"/>
          <w:sz w:val="22"/>
          <w:szCs w:val="22"/>
        </w:rPr>
        <w:t>founding shareholders and management team of the SPAC, and their associates</w:t>
      </w:r>
      <w:r w:rsidR="00F06262">
        <w:rPr>
          <w:rFonts w:asciiTheme="minorHAnsi" w:hAnsiTheme="minorHAnsi" w:cstheme="minorHAnsi"/>
          <w:sz w:val="22"/>
          <w:szCs w:val="22"/>
        </w:rPr>
        <w:t>.</w:t>
      </w:r>
      <w:r w:rsidR="00840406" w:rsidRPr="00840406">
        <w:rPr>
          <w:rStyle w:val="FootnoteReference"/>
          <w:rFonts w:cstheme="minorHAnsi"/>
          <w:shd w:val="clear" w:color="auto" w:fill="FFFFFF"/>
        </w:rPr>
        <w:t xml:space="preserve"> </w:t>
      </w:r>
      <w:r w:rsidR="00840406">
        <w:rPr>
          <w:rStyle w:val="FootnoteReference"/>
          <w:rFonts w:cstheme="minorHAnsi"/>
          <w:shd w:val="clear" w:color="auto" w:fill="FFFFFF"/>
        </w:rPr>
        <w:footnoteReference w:id="11"/>
      </w:r>
    </w:p>
    <w:p w14:paraId="2374192B" w14:textId="77777777" w:rsidR="0080597B" w:rsidRDefault="0080597B" w:rsidP="0021456F">
      <w:pPr>
        <w:jc w:val="both"/>
        <w:rPr>
          <w:rFonts w:cstheme="minorHAnsi"/>
          <w:b/>
          <w:bCs/>
        </w:rPr>
      </w:pPr>
    </w:p>
    <w:p w14:paraId="7DA3B14B" w14:textId="77777777" w:rsidR="0080597B" w:rsidRDefault="0080597B" w:rsidP="0021456F">
      <w:pPr>
        <w:jc w:val="both"/>
        <w:rPr>
          <w:rFonts w:cstheme="minorHAnsi"/>
          <w:b/>
          <w:bCs/>
        </w:rPr>
      </w:pPr>
    </w:p>
    <w:p w14:paraId="17393177" w14:textId="77777777" w:rsidR="0080597B" w:rsidRDefault="0080597B" w:rsidP="0021456F">
      <w:pPr>
        <w:jc w:val="both"/>
        <w:rPr>
          <w:rFonts w:cstheme="minorHAnsi"/>
          <w:b/>
          <w:bCs/>
        </w:rPr>
      </w:pPr>
    </w:p>
    <w:p w14:paraId="4AE2D8A2" w14:textId="0BD576BF" w:rsidR="00E4055F" w:rsidRPr="00E4055F" w:rsidRDefault="00707909" w:rsidP="0021456F">
      <w:pPr>
        <w:jc w:val="both"/>
        <w:rPr>
          <w:rFonts w:cstheme="minorHAnsi"/>
          <w:b/>
          <w:bCs/>
        </w:rPr>
      </w:pPr>
      <w:r>
        <w:rPr>
          <w:rFonts w:cstheme="minorHAnsi"/>
          <w:b/>
          <w:bCs/>
        </w:rPr>
        <w:lastRenderedPageBreak/>
        <w:t>2</w:t>
      </w:r>
      <w:r>
        <w:rPr>
          <w:rFonts w:cstheme="minorHAnsi"/>
          <w:b/>
          <w:bCs/>
        </w:rPr>
        <w:tab/>
      </w:r>
      <w:r w:rsidR="00E4055F" w:rsidRPr="00E4055F">
        <w:rPr>
          <w:rFonts w:cstheme="minorHAnsi"/>
          <w:b/>
          <w:bCs/>
        </w:rPr>
        <w:t>HKEX</w:t>
      </w:r>
    </w:p>
    <w:p w14:paraId="150D2BE6" w14:textId="5BD4341B" w:rsidR="00E4055F" w:rsidRPr="004C11C0" w:rsidRDefault="00493C23" w:rsidP="0021456F">
      <w:pPr>
        <w:jc w:val="both"/>
        <w:rPr>
          <w:rFonts w:cstheme="minorHAnsi"/>
        </w:rPr>
      </w:pPr>
      <w:r w:rsidRPr="004C11C0">
        <w:rPr>
          <w:rFonts w:cstheme="minorHAnsi"/>
        </w:rPr>
        <w:t xml:space="preserve">At least 25% of the issuer’s total number of issued shares </w:t>
      </w:r>
      <w:proofErr w:type="gramStart"/>
      <w:r w:rsidRPr="004C11C0">
        <w:rPr>
          <w:rFonts w:cstheme="minorHAnsi"/>
        </w:rPr>
        <w:t>must at all times</w:t>
      </w:r>
      <w:proofErr w:type="gramEnd"/>
      <w:r w:rsidRPr="004C11C0">
        <w:rPr>
          <w:rFonts w:cstheme="minorHAnsi"/>
        </w:rPr>
        <w:t xml:space="preserve"> be held by the public.</w:t>
      </w:r>
      <w:r w:rsidR="00A740E2" w:rsidRPr="004C11C0">
        <w:rPr>
          <w:rStyle w:val="FootnoteReference"/>
          <w:rFonts w:cstheme="minorHAnsi"/>
        </w:rPr>
        <w:footnoteReference w:id="12"/>
      </w:r>
    </w:p>
    <w:p w14:paraId="6AFBE454" w14:textId="14B18BF8" w:rsidR="00045074" w:rsidRPr="004C11C0" w:rsidRDefault="00045074" w:rsidP="0021456F">
      <w:pPr>
        <w:jc w:val="both"/>
        <w:rPr>
          <w:rFonts w:cstheme="minorHAnsi"/>
        </w:rPr>
      </w:pPr>
      <w:r w:rsidRPr="004C11C0">
        <w:rPr>
          <w:rFonts w:cstheme="minorHAnsi"/>
        </w:rPr>
        <w:t xml:space="preserve">The Exchange will not regard any core connected person of the issuer as a member of “the public” or shares held by him as being “in public hands”. In </w:t>
      </w:r>
      <w:r w:rsidR="0021456F" w:rsidRPr="004C11C0">
        <w:rPr>
          <w:rFonts w:cstheme="minorHAnsi"/>
        </w:rPr>
        <w:t>addition,</w:t>
      </w:r>
      <w:r w:rsidRPr="004C11C0">
        <w:rPr>
          <w:rFonts w:cstheme="minorHAnsi"/>
        </w:rPr>
        <w:t xml:space="preserve"> the Exchange will</w:t>
      </w:r>
      <w:r w:rsidR="006C75D5" w:rsidRPr="004C11C0">
        <w:rPr>
          <w:rFonts w:cstheme="minorHAnsi"/>
        </w:rPr>
        <w:t xml:space="preserve"> not</w:t>
      </w:r>
      <w:r w:rsidRPr="004C11C0">
        <w:rPr>
          <w:rFonts w:cstheme="minorHAnsi"/>
        </w:rPr>
        <w:t xml:space="preserve"> </w:t>
      </w:r>
      <w:proofErr w:type="spellStart"/>
      <w:r w:rsidR="000A3886" w:rsidRPr="004C11C0">
        <w:rPr>
          <w:rFonts w:cstheme="minorHAnsi"/>
        </w:rPr>
        <w:t>recogni</w:t>
      </w:r>
      <w:r w:rsidR="006C75D5" w:rsidRPr="004C11C0">
        <w:rPr>
          <w:rFonts w:cstheme="minorHAnsi"/>
        </w:rPr>
        <w:t>se</w:t>
      </w:r>
      <w:proofErr w:type="spellEnd"/>
      <w:r w:rsidRPr="004C11C0">
        <w:rPr>
          <w:rFonts w:cstheme="minorHAnsi"/>
        </w:rPr>
        <w:t xml:space="preserve"> as a member of “the public” –</w:t>
      </w:r>
    </w:p>
    <w:p w14:paraId="738DEB96" w14:textId="77777777" w:rsidR="00EA4B40" w:rsidRPr="004C11C0" w:rsidRDefault="00045074" w:rsidP="0021456F">
      <w:pPr>
        <w:pStyle w:val="ListParagraph"/>
        <w:numPr>
          <w:ilvl w:val="0"/>
          <w:numId w:val="7"/>
        </w:numPr>
        <w:jc w:val="both"/>
        <w:rPr>
          <w:rFonts w:asciiTheme="minorHAnsi" w:hAnsiTheme="minorHAnsi" w:cstheme="minorHAnsi"/>
          <w:sz w:val="22"/>
          <w:szCs w:val="22"/>
        </w:rPr>
      </w:pPr>
      <w:r w:rsidRPr="004C11C0">
        <w:rPr>
          <w:rFonts w:asciiTheme="minorHAnsi" w:hAnsiTheme="minorHAnsi" w:cstheme="minorHAnsi"/>
          <w:sz w:val="22"/>
          <w:szCs w:val="22"/>
        </w:rPr>
        <w:t xml:space="preserve">any person whose acquisition of securities has been financed directly or indirectly by a core connected </w:t>
      </w:r>
      <w:proofErr w:type="gramStart"/>
      <w:r w:rsidRPr="004C11C0">
        <w:rPr>
          <w:rFonts w:asciiTheme="minorHAnsi" w:hAnsiTheme="minorHAnsi" w:cstheme="minorHAnsi"/>
          <w:sz w:val="22"/>
          <w:szCs w:val="22"/>
        </w:rPr>
        <w:t>person;</w:t>
      </w:r>
      <w:proofErr w:type="gramEnd"/>
      <w:r w:rsidRPr="004C11C0">
        <w:rPr>
          <w:rFonts w:asciiTheme="minorHAnsi" w:hAnsiTheme="minorHAnsi" w:cstheme="minorHAnsi"/>
          <w:sz w:val="22"/>
          <w:szCs w:val="22"/>
        </w:rPr>
        <w:t xml:space="preserve"> </w:t>
      </w:r>
    </w:p>
    <w:p w14:paraId="7227CDB5" w14:textId="77777777" w:rsidR="00BA14DA" w:rsidRPr="004C11C0" w:rsidRDefault="00045074" w:rsidP="0021456F">
      <w:pPr>
        <w:pStyle w:val="ListParagraph"/>
        <w:numPr>
          <w:ilvl w:val="0"/>
          <w:numId w:val="7"/>
        </w:numPr>
        <w:jc w:val="both"/>
        <w:rPr>
          <w:rFonts w:asciiTheme="minorHAnsi" w:hAnsiTheme="minorHAnsi" w:cstheme="minorHAnsi"/>
          <w:sz w:val="22"/>
          <w:szCs w:val="22"/>
        </w:rPr>
      </w:pPr>
      <w:r w:rsidRPr="004C11C0">
        <w:rPr>
          <w:rFonts w:asciiTheme="minorHAnsi" w:hAnsiTheme="minorHAnsi" w:cstheme="minorHAnsi"/>
          <w:sz w:val="22"/>
          <w:szCs w:val="22"/>
        </w:rPr>
        <w:t>any person who is accustomed to take instructions from a core connected person in relation to the acquisition, disposal, voting or other disposition of securities of the issuer registered in his name or otherwise held by him.</w:t>
      </w:r>
      <w:r w:rsidR="005C798E" w:rsidRPr="004C11C0">
        <w:rPr>
          <w:rStyle w:val="FootnoteReference"/>
          <w:rFonts w:asciiTheme="minorHAnsi" w:hAnsiTheme="minorHAnsi" w:cstheme="minorHAnsi"/>
          <w:sz w:val="22"/>
          <w:szCs w:val="22"/>
        </w:rPr>
        <w:footnoteReference w:id="13"/>
      </w:r>
    </w:p>
    <w:p w14:paraId="76FD6795" w14:textId="15C2004D" w:rsidR="00F37243" w:rsidRPr="004C11C0" w:rsidRDefault="0021456F" w:rsidP="00BA14DA">
      <w:pPr>
        <w:jc w:val="both"/>
        <w:rPr>
          <w:rFonts w:cstheme="minorHAnsi"/>
        </w:rPr>
      </w:pPr>
      <w:r w:rsidRPr="004C11C0">
        <w:rPr>
          <w:rFonts w:cstheme="minorHAnsi"/>
        </w:rPr>
        <w:t>“</w:t>
      </w:r>
      <w:r w:rsidR="00F37243" w:rsidRPr="004C11C0">
        <w:rPr>
          <w:rFonts w:cstheme="minorHAnsi"/>
          <w:shd w:val="clear" w:color="auto" w:fill="FFFFFF"/>
        </w:rPr>
        <w:t>A "</w:t>
      </w:r>
      <w:r w:rsidR="00F37243" w:rsidRPr="004C11C0">
        <w:rPr>
          <w:rStyle w:val="Emphasis"/>
          <w:rFonts w:cstheme="minorHAnsi"/>
          <w:bdr w:val="none" w:sz="0" w:space="0" w:color="auto" w:frame="1"/>
          <w:shd w:val="clear" w:color="auto" w:fill="FFFFFF"/>
        </w:rPr>
        <w:t>connected person at the issuer le</w:t>
      </w:r>
      <w:r w:rsidR="00BA14DA" w:rsidRPr="004C11C0">
        <w:rPr>
          <w:rStyle w:val="Emphasis"/>
          <w:rFonts w:cstheme="minorHAnsi"/>
          <w:bdr w:val="none" w:sz="0" w:space="0" w:color="auto" w:frame="1"/>
          <w:shd w:val="clear" w:color="auto" w:fill="FFFFFF"/>
        </w:rPr>
        <w:t>v</w:t>
      </w:r>
      <w:r w:rsidR="00F37243" w:rsidRPr="004C11C0">
        <w:rPr>
          <w:rStyle w:val="Emphasis"/>
          <w:rFonts w:cstheme="minorHAnsi"/>
          <w:bdr w:val="none" w:sz="0" w:space="0" w:color="auto" w:frame="1"/>
          <w:shd w:val="clear" w:color="auto" w:fill="FFFFFF"/>
        </w:rPr>
        <w:t>el</w:t>
      </w:r>
      <w:r w:rsidR="00F37243" w:rsidRPr="004C11C0">
        <w:rPr>
          <w:rFonts w:cstheme="minorHAnsi"/>
          <w:shd w:val="clear" w:color="auto" w:fill="FFFFFF"/>
        </w:rPr>
        <w:t xml:space="preserve">" </w:t>
      </w:r>
      <w:r w:rsidR="00BA14DA" w:rsidRPr="004C11C0">
        <w:rPr>
          <w:rFonts w:cstheme="minorHAnsi"/>
          <w:shd w:val="clear" w:color="auto" w:fill="FFFFFF"/>
        </w:rPr>
        <w:t>include</w:t>
      </w:r>
      <w:r w:rsidR="00F37243" w:rsidRPr="004C11C0">
        <w:rPr>
          <w:rFonts w:cstheme="minorHAnsi"/>
          <w:shd w:val="clear" w:color="auto" w:fill="FFFFFF"/>
        </w:rPr>
        <w:t>s -</w:t>
      </w:r>
    </w:p>
    <w:p w14:paraId="727BAAF3" w14:textId="704B7879" w:rsidR="00F37243" w:rsidRPr="004C11C0" w:rsidRDefault="00F37243" w:rsidP="0021456F">
      <w:pPr>
        <w:pStyle w:val="ListParagraph"/>
        <w:numPr>
          <w:ilvl w:val="0"/>
          <w:numId w:val="7"/>
        </w:numPr>
        <w:shd w:val="clear" w:color="auto" w:fill="FFFFFF"/>
        <w:spacing w:before="240" w:after="240"/>
        <w:jc w:val="both"/>
        <w:textAlignment w:val="baseline"/>
        <w:rPr>
          <w:rFonts w:asciiTheme="minorHAnsi" w:hAnsiTheme="minorHAnsi" w:cstheme="minorHAnsi"/>
          <w:sz w:val="22"/>
          <w:szCs w:val="22"/>
        </w:rPr>
      </w:pPr>
      <w:r w:rsidRPr="004C11C0">
        <w:rPr>
          <w:rFonts w:asciiTheme="minorHAnsi" w:hAnsiTheme="minorHAnsi" w:cstheme="minorHAnsi"/>
          <w:sz w:val="22"/>
          <w:szCs w:val="22"/>
        </w:rPr>
        <w:t xml:space="preserve">a director, chief executive or substantial shareholder of a listed </w:t>
      </w:r>
      <w:proofErr w:type="gramStart"/>
      <w:r w:rsidRPr="004C11C0">
        <w:rPr>
          <w:rFonts w:asciiTheme="minorHAnsi" w:hAnsiTheme="minorHAnsi" w:cstheme="minorHAnsi"/>
          <w:sz w:val="22"/>
          <w:szCs w:val="22"/>
        </w:rPr>
        <w:t>issuer;</w:t>
      </w:r>
      <w:proofErr w:type="gramEnd"/>
    </w:p>
    <w:p w14:paraId="0D5A14CE" w14:textId="78526504" w:rsidR="00F37243" w:rsidRPr="004C11C0" w:rsidRDefault="00F37243" w:rsidP="0021456F">
      <w:pPr>
        <w:pStyle w:val="ListParagraph"/>
        <w:numPr>
          <w:ilvl w:val="0"/>
          <w:numId w:val="7"/>
        </w:numPr>
        <w:shd w:val="clear" w:color="auto" w:fill="FFFFFF"/>
        <w:spacing w:before="240" w:after="240"/>
        <w:jc w:val="both"/>
        <w:textAlignment w:val="baseline"/>
        <w:rPr>
          <w:rFonts w:asciiTheme="minorHAnsi" w:hAnsiTheme="minorHAnsi" w:cstheme="minorHAnsi"/>
          <w:sz w:val="22"/>
          <w:szCs w:val="22"/>
        </w:rPr>
      </w:pPr>
      <w:r w:rsidRPr="004C11C0">
        <w:rPr>
          <w:rFonts w:asciiTheme="minorHAnsi" w:hAnsiTheme="minorHAnsi" w:cstheme="minorHAnsi"/>
          <w:sz w:val="22"/>
          <w:szCs w:val="22"/>
        </w:rPr>
        <w:t>a supervisor of a PRC issuer</w:t>
      </w:r>
      <w:r w:rsidR="0097123A" w:rsidRPr="004C11C0">
        <w:rPr>
          <w:rFonts w:asciiTheme="minorHAnsi" w:hAnsiTheme="minorHAnsi" w:cstheme="minorHAnsi"/>
          <w:sz w:val="22"/>
          <w:szCs w:val="22"/>
        </w:rPr>
        <w:t xml:space="preserve"> (People’s Republic of China</w:t>
      </w:r>
      <w:proofErr w:type="gramStart"/>
      <w:r w:rsidR="0097123A" w:rsidRPr="004C11C0">
        <w:rPr>
          <w:rFonts w:asciiTheme="minorHAnsi" w:hAnsiTheme="minorHAnsi" w:cstheme="minorHAnsi"/>
          <w:sz w:val="22"/>
          <w:szCs w:val="22"/>
        </w:rPr>
        <w:t>)</w:t>
      </w:r>
      <w:r w:rsidRPr="004C11C0">
        <w:rPr>
          <w:rFonts w:asciiTheme="minorHAnsi" w:hAnsiTheme="minorHAnsi" w:cstheme="minorHAnsi"/>
          <w:sz w:val="22"/>
          <w:szCs w:val="22"/>
        </w:rPr>
        <w:t>;</w:t>
      </w:r>
      <w:proofErr w:type="gramEnd"/>
    </w:p>
    <w:p w14:paraId="53DCE54C" w14:textId="2AE8E347" w:rsidR="00F37243" w:rsidRPr="004C11C0" w:rsidRDefault="00F37243" w:rsidP="0021456F">
      <w:pPr>
        <w:pStyle w:val="ListParagraph"/>
        <w:numPr>
          <w:ilvl w:val="0"/>
          <w:numId w:val="7"/>
        </w:numPr>
        <w:shd w:val="clear" w:color="auto" w:fill="FFFFFF"/>
        <w:spacing w:before="240" w:after="240"/>
        <w:jc w:val="both"/>
        <w:textAlignment w:val="baseline"/>
        <w:rPr>
          <w:rFonts w:asciiTheme="minorHAnsi" w:hAnsiTheme="minorHAnsi" w:cstheme="minorHAnsi"/>
          <w:sz w:val="22"/>
          <w:szCs w:val="22"/>
        </w:rPr>
      </w:pPr>
      <w:r w:rsidRPr="004C11C0">
        <w:rPr>
          <w:rFonts w:asciiTheme="minorHAnsi" w:hAnsiTheme="minorHAnsi" w:cstheme="minorHAnsi"/>
          <w:sz w:val="22"/>
          <w:szCs w:val="22"/>
        </w:rPr>
        <w:t>a person who was a director of the listed issuer in the last 12 months; and</w:t>
      </w:r>
    </w:p>
    <w:p w14:paraId="5C5572DE" w14:textId="055FCBE9" w:rsidR="00F37243" w:rsidRPr="004C11C0" w:rsidRDefault="00F37243" w:rsidP="0021456F">
      <w:pPr>
        <w:pStyle w:val="ListParagraph"/>
        <w:numPr>
          <w:ilvl w:val="0"/>
          <w:numId w:val="7"/>
        </w:numPr>
        <w:shd w:val="clear" w:color="auto" w:fill="FFFFFF"/>
        <w:spacing w:before="240"/>
        <w:jc w:val="both"/>
        <w:textAlignment w:val="baseline"/>
        <w:rPr>
          <w:rFonts w:asciiTheme="minorHAnsi" w:hAnsiTheme="minorHAnsi" w:cstheme="minorHAnsi"/>
          <w:sz w:val="22"/>
          <w:szCs w:val="22"/>
        </w:rPr>
      </w:pPr>
      <w:r w:rsidRPr="004C11C0">
        <w:rPr>
          <w:rFonts w:asciiTheme="minorHAnsi" w:hAnsiTheme="minorHAnsi" w:cstheme="minorHAnsi"/>
          <w:sz w:val="22"/>
          <w:szCs w:val="22"/>
        </w:rPr>
        <w:t>an associate of any of the above persons</w:t>
      </w:r>
      <w:r w:rsidR="00570317" w:rsidRPr="004C11C0">
        <w:rPr>
          <w:rFonts w:asciiTheme="minorHAnsi" w:hAnsiTheme="minorHAnsi" w:cstheme="minorHAnsi"/>
          <w:sz w:val="22"/>
          <w:szCs w:val="22"/>
        </w:rPr>
        <w:t>.</w:t>
      </w:r>
      <w:r w:rsidR="00570317" w:rsidRPr="004C11C0">
        <w:rPr>
          <w:rStyle w:val="FootnoteReference"/>
          <w:rFonts w:asciiTheme="minorHAnsi" w:hAnsiTheme="minorHAnsi" w:cstheme="minorHAnsi"/>
          <w:sz w:val="22"/>
          <w:szCs w:val="22"/>
        </w:rPr>
        <w:footnoteReference w:id="14"/>
      </w:r>
    </w:p>
    <w:p w14:paraId="0ADB68BC" w14:textId="71F34826" w:rsidR="00570317" w:rsidRPr="006B1D07" w:rsidRDefault="00707909" w:rsidP="0021456F">
      <w:pPr>
        <w:jc w:val="both"/>
        <w:rPr>
          <w:rFonts w:cstheme="minorHAnsi"/>
        </w:rPr>
      </w:pPr>
      <w:r>
        <w:rPr>
          <w:rFonts w:cstheme="minorHAnsi"/>
          <w:b/>
          <w:bCs/>
        </w:rPr>
        <w:t>3</w:t>
      </w:r>
      <w:r>
        <w:rPr>
          <w:rFonts w:cstheme="minorHAnsi"/>
          <w:b/>
          <w:bCs/>
        </w:rPr>
        <w:tab/>
      </w:r>
      <w:r w:rsidR="00570317" w:rsidRPr="00570317">
        <w:rPr>
          <w:rFonts w:cstheme="minorHAnsi"/>
          <w:b/>
          <w:bCs/>
        </w:rPr>
        <w:t>ASX</w:t>
      </w:r>
    </w:p>
    <w:p w14:paraId="3359228F" w14:textId="55BC253F" w:rsidR="00C54DC3" w:rsidRPr="006B1D07" w:rsidRDefault="00C54DC3" w:rsidP="0021456F">
      <w:pPr>
        <w:jc w:val="both"/>
        <w:rPr>
          <w:rFonts w:cstheme="minorHAnsi"/>
        </w:rPr>
      </w:pPr>
      <w:r w:rsidRPr="006B1D07">
        <w:rPr>
          <w:rFonts w:cstheme="minorHAnsi"/>
        </w:rPr>
        <w:t xml:space="preserve">The entity </w:t>
      </w:r>
      <w:r w:rsidR="00C86892" w:rsidRPr="006B1D07">
        <w:rPr>
          <w:rFonts w:cstheme="minorHAnsi"/>
        </w:rPr>
        <w:t xml:space="preserve">must have free float at the time of admission to the official list of not less than 20%. There must be at least 300 non-affiliated </w:t>
      </w:r>
      <w:r w:rsidR="008A68AB" w:rsidRPr="006B1D07">
        <w:rPr>
          <w:rFonts w:cstheme="minorHAnsi"/>
        </w:rPr>
        <w:t xml:space="preserve">security holders, each of whom hold a parcel of the main class of securities that are not restricted </w:t>
      </w:r>
      <w:r w:rsidR="00771BAF" w:rsidRPr="006B1D07">
        <w:rPr>
          <w:rFonts w:cstheme="minorHAnsi"/>
        </w:rPr>
        <w:t>securities or subject to voluntary escrow.</w:t>
      </w:r>
      <w:r w:rsidR="00771BAF" w:rsidRPr="006B1D07">
        <w:rPr>
          <w:rStyle w:val="FootnoteReference"/>
          <w:rFonts w:cstheme="minorHAnsi"/>
        </w:rPr>
        <w:footnoteReference w:id="15"/>
      </w:r>
    </w:p>
    <w:p w14:paraId="52BB6E3F" w14:textId="56DABE9C" w:rsidR="00C86892" w:rsidRPr="006B1D07" w:rsidRDefault="00F007FE" w:rsidP="0021456F">
      <w:pPr>
        <w:jc w:val="both"/>
        <w:rPr>
          <w:rFonts w:cstheme="minorHAnsi"/>
        </w:rPr>
      </w:pPr>
      <w:r w:rsidRPr="006B1D07">
        <w:rPr>
          <w:rFonts w:cstheme="minorHAnsi"/>
        </w:rPr>
        <w:t xml:space="preserve">Non-affiliated security holders are holders who are not – </w:t>
      </w:r>
    </w:p>
    <w:p w14:paraId="20CF4D8D" w14:textId="643E6F39" w:rsidR="00F007FE" w:rsidRPr="006B1D07" w:rsidRDefault="00555FA5" w:rsidP="0021456F">
      <w:pPr>
        <w:pStyle w:val="ListParagraph"/>
        <w:numPr>
          <w:ilvl w:val="0"/>
          <w:numId w:val="8"/>
        </w:numPr>
        <w:jc w:val="both"/>
        <w:rPr>
          <w:rFonts w:asciiTheme="minorHAnsi" w:hAnsiTheme="minorHAnsi" w:cstheme="minorHAnsi"/>
          <w:sz w:val="22"/>
          <w:szCs w:val="22"/>
        </w:rPr>
      </w:pPr>
      <w:r w:rsidRPr="006B1D07">
        <w:rPr>
          <w:rFonts w:asciiTheme="minorHAnsi" w:hAnsiTheme="minorHAnsi" w:cstheme="minorHAnsi"/>
          <w:sz w:val="22"/>
          <w:szCs w:val="22"/>
        </w:rPr>
        <w:t>a related party of the entity</w:t>
      </w:r>
      <w:r w:rsidR="00A32473" w:rsidRPr="006B1D07">
        <w:rPr>
          <w:rStyle w:val="FootnoteReference"/>
          <w:rFonts w:asciiTheme="minorHAnsi" w:hAnsiTheme="minorHAnsi" w:cstheme="minorHAnsi"/>
          <w:sz w:val="22"/>
          <w:szCs w:val="22"/>
        </w:rPr>
        <w:footnoteReference w:id="16"/>
      </w:r>
      <w:r w:rsidRPr="006B1D07">
        <w:rPr>
          <w:rFonts w:asciiTheme="minorHAnsi" w:hAnsiTheme="minorHAnsi" w:cstheme="minorHAnsi"/>
          <w:sz w:val="22"/>
          <w:szCs w:val="22"/>
        </w:rPr>
        <w:t>;</w:t>
      </w:r>
    </w:p>
    <w:p w14:paraId="6D619815" w14:textId="4C765E7D" w:rsidR="00555FA5" w:rsidRPr="006B1D07" w:rsidRDefault="00555FA5" w:rsidP="0021456F">
      <w:pPr>
        <w:pStyle w:val="ListParagraph"/>
        <w:numPr>
          <w:ilvl w:val="0"/>
          <w:numId w:val="8"/>
        </w:numPr>
        <w:jc w:val="both"/>
        <w:rPr>
          <w:rFonts w:asciiTheme="minorHAnsi" w:hAnsiTheme="minorHAnsi" w:cstheme="minorHAnsi"/>
          <w:sz w:val="22"/>
          <w:szCs w:val="22"/>
        </w:rPr>
      </w:pPr>
      <w:r w:rsidRPr="006B1D07">
        <w:rPr>
          <w:rFonts w:asciiTheme="minorHAnsi" w:hAnsiTheme="minorHAnsi" w:cstheme="minorHAnsi"/>
          <w:sz w:val="22"/>
          <w:szCs w:val="22"/>
        </w:rPr>
        <w:lastRenderedPageBreak/>
        <w:t>an associate of a related party of the entity; or</w:t>
      </w:r>
    </w:p>
    <w:p w14:paraId="7413D146" w14:textId="7D480B39" w:rsidR="00555FA5" w:rsidRPr="006B1D07" w:rsidRDefault="00555FA5" w:rsidP="0021456F">
      <w:pPr>
        <w:pStyle w:val="ListParagraph"/>
        <w:numPr>
          <w:ilvl w:val="0"/>
          <w:numId w:val="8"/>
        </w:numPr>
        <w:jc w:val="both"/>
        <w:rPr>
          <w:rFonts w:asciiTheme="minorHAnsi" w:hAnsiTheme="minorHAnsi" w:cstheme="minorHAnsi"/>
          <w:sz w:val="22"/>
          <w:szCs w:val="22"/>
        </w:rPr>
      </w:pPr>
      <w:r w:rsidRPr="006B1D07">
        <w:rPr>
          <w:rFonts w:asciiTheme="minorHAnsi" w:hAnsiTheme="minorHAnsi" w:cstheme="minorHAnsi"/>
          <w:sz w:val="22"/>
          <w:szCs w:val="22"/>
        </w:rPr>
        <w:t xml:space="preserve">a person whose relationship </w:t>
      </w:r>
      <w:r w:rsidR="00EF0366" w:rsidRPr="006B1D07">
        <w:rPr>
          <w:rFonts w:asciiTheme="minorHAnsi" w:hAnsiTheme="minorHAnsi" w:cstheme="minorHAnsi"/>
          <w:sz w:val="22"/>
          <w:szCs w:val="22"/>
        </w:rPr>
        <w:t>to the entity or person referred to in (a) or (b) above is such that, the ASX’s opinion</w:t>
      </w:r>
      <w:r w:rsidR="00CB1C49" w:rsidRPr="006B1D07">
        <w:rPr>
          <w:rFonts w:asciiTheme="minorHAnsi" w:hAnsiTheme="minorHAnsi" w:cstheme="minorHAnsi"/>
          <w:sz w:val="22"/>
          <w:szCs w:val="22"/>
        </w:rPr>
        <w:t>, they should be treated as affiliated.</w:t>
      </w:r>
      <w:r w:rsidR="00CB1C49" w:rsidRPr="006B1D07">
        <w:rPr>
          <w:rStyle w:val="FootnoteReference"/>
          <w:rFonts w:asciiTheme="minorHAnsi" w:hAnsiTheme="minorHAnsi" w:cstheme="minorHAnsi"/>
          <w:sz w:val="22"/>
          <w:szCs w:val="22"/>
        </w:rPr>
        <w:footnoteReference w:id="17"/>
      </w:r>
      <w:r w:rsidR="00CB1C49" w:rsidRPr="006B1D07">
        <w:rPr>
          <w:rFonts w:asciiTheme="minorHAnsi" w:hAnsiTheme="minorHAnsi" w:cstheme="minorHAnsi"/>
          <w:sz w:val="22"/>
          <w:szCs w:val="22"/>
        </w:rPr>
        <w:t xml:space="preserve"> </w:t>
      </w:r>
    </w:p>
    <w:p w14:paraId="06CEDB1E" w14:textId="37389475" w:rsidR="002D4500" w:rsidRPr="006B1D07" w:rsidRDefault="002D4500" w:rsidP="0021456F">
      <w:pPr>
        <w:spacing w:after="0" w:line="240" w:lineRule="auto"/>
        <w:jc w:val="both"/>
        <w:rPr>
          <w:rFonts w:cstheme="minorHAnsi"/>
        </w:rPr>
      </w:pPr>
    </w:p>
    <w:p w14:paraId="5DBA2765" w14:textId="29982198" w:rsidR="00DE548B" w:rsidRDefault="009934A7" w:rsidP="004A0172">
      <w:pPr>
        <w:spacing w:after="0" w:line="240" w:lineRule="auto"/>
        <w:jc w:val="both"/>
      </w:pPr>
      <w:r>
        <w:rPr>
          <w:rFonts w:cstheme="minorHAnsi"/>
        </w:rPr>
        <w:t>Although our initial focus was on the treatment of fund managers and portfolio managers in the free float asse</w:t>
      </w:r>
      <w:r w:rsidR="00913C44">
        <w:rPr>
          <w:rFonts w:cstheme="minorHAnsi"/>
        </w:rPr>
        <w:t>ss</w:t>
      </w:r>
      <w:r>
        <w:rPr>
          <w:rFonts w:cstheme="minorHAnsi"/>
        </w:rPr>
        <w:t xml:space="preserve">ment, we came to the </w:t>
      </w:r>
      <w:proofErr w:type="spellStart"/>
      <w:r>
        <w:rPr>
          <w:rFonts w:cstheme="minorHAnsi"/>
        </w:rPr>
        <w:t>realisation</w:t>
      </w:r>
      <w:proofErr w:type="spellEnd"/>
      <w:r>
        <w:rPr>
          <w:rFonts w:cstheme="minorHAnsi"/>
        </w:rPr>
        <w:t xml:space="preserve"> that a</w:t>
      </w:r>
      <w:r w:rsidR="00840406" w:rsidRPr="006B1D07">
        <w:rPr>
          <w:rFonts w:cstheme="minorHAnsi"/>
        </w:rPr>
        <w:t xml:space="preserve">ll three markets above </w:t>
      </w:r>
      <w:r w:rsidR="00F1567D" w:rsidRPr="006B1D07">
        <w:rPr>
          <w:rFonts w:cstheme="minorHAnsi"/>
        </w:rPr>
        <w:t>do not exclude holdings</w:t>
      </w:r>
      <w:r w:rsidR="00AB3300">
        <w:rPr>
          <w:rFonts w:cstheme="minorHAnsi"/>
        </w:rPr>
        <w:t xml:space="preserve"> of 10% or more </w:t>
      </w:r>
      <w:r w:rsidR="00F1567D" w:rsidRPr="006B1D07">
        <w:t>from free float.</w:t>
      </w:r>
      <w:r w:rsidR="00DE548B" w:rsidRPr="006B1D07">
        <w:t xml:space="preserve"> Interestingly, the SGX, HKEX and ASX </w:t>
      </w:r>
      <w:r w:rsidR="00913C44">
        <w:t xml:space="preserve">do </w:t>
      </w:r>
      <w:r w:rsidR="00DE548B" w:rsidRPr="006B1D07">
        <w:t xml:space="preserve">impose a minimum number of </w:t>
      </w:r>
      <w:r w:rsidR="00AA776E">
        <w:t>shareholders</w:t>
      </w:r>
      <w:r w:rsidR="00DE548B" w:rsidRPr="006B1D07">
        <w:t xml:space="preserve">, ranging from between 300 to 500 shareholders. </w:t>
      </w:r>
    </w:p>
    <w:p w14:paraId="1556DFEB" w14:textId="77777777" w:rsidR="004A0172" w:rsidRPr="006B1D07" w:rsidRDefault="004A0172" w:rsidP="004A0172">
      <w:pPr>
        <w:spacing w:after="0" w:line="240" w:lineRule="auto"/>
        <w:jc w:val="both"/>
        <w:rPr>
          <w:rFonts w:cstheme="minorHAnsi"/>
        </w:rPr>
      </w:pPr>
    </w:p>
    <w:p w14:paraId="6769EEE8" w14:textId="3FC46DAE" w:rsidR="007774D7" w:rsidRPr="007334B0" w:rsidRDefault="007774D7" w:rsidP="0082423B">
      <w:pPr>
        <w:spacing w:line="240" w:lineRule="auto"/>
        <w:jc w:val="both"/>
        <w:rPr>
          <w:rFonts w:cstheme="minorHAnsi"/>
          <w:u w:val="single"/>
        </w:rPr>
      </w:pPr>
      <w:r w:rsidRPr="007334B0">
        <w:rPr>
          <w:rFonts w:cstheme="minorHAnsi"/>
          <w:u w:val="single"/>
        </w:rPr>
        <w:t xml:space="preserve">The 10% Exclusion </w:t>
      </w:r>
      <w:r w:rsidR="006B1D07" w:rsidRPr="007334B0">
        <w:rPr>
          <w:rFonts w:cstheme="minorHAnsi"/>
          <w:u w:val="single"/>
        </w:rPr>
        <w:t>Challenged</w:t>
      </w:r>
    </w:p>
    <w:p w14:paraId="78D3EE19" w14:textId="180B2663" w:rsidR="0095021D" w:rsidRPr="00741ED3" w:rsidRDefault="0095021D" w:rsidP="0095021D">
      <w:pPr>
        <w:spacing w:after="0" w:line="240" w:lineRule="auto"/>
        <w:jc w:val="both"/>
        <w:rPr>
          <w:rFonts w:cstheme="minorHAnsi"/>
        </w:rPr>
      </w:pPr>
      <w:r w:rsidRPr="00741ED3">
        <w:rPr>
          <w:rFonts w:cstheme="minorHAnsi"/>
        </w:rPr>
        <w:t>The JSE is very mindful to strike the right balance between the interest of issuers and th</w:t>
      </w:r>
      <w:r>
        <w:rPr>
          <w:rFonts w:cstheme="minorHAnsi"/>
        </w:rPr>
        <w:t>at</w:t>
      </w:r>
      <w:r w:rsidRPr="00741ED3">
        <w:rPr>
          <w:rFonts w:cstheme="minorHAnsi"/>
        </w:rPr>
        <w:t xml:space="preserve"> of investors. </w:t>
      </w:r>
      <w:r>
        <w:rPr>
          <w:rFonts w:cstheme="minorHAnsi"/>
        </w:rPr>
        <w:t xml:space="preserve">A shareholder’s </w:t>
      </w:r>
      <w:r w:rsidRPr="00741ED3">
        <w:rPr>
          <w:rFonts w:cstheme="minorHAnsi"/>
        </w:rPr>
        <w:t>proximity/association to the board of directors of the applicant issuer and their associates</w:t>
      </w:r>
      <w:r>
        <w:rPr>
          <w:rFonts w:cstheme="minorHAnsi"/>
        </w:rPr>
        <w:t>,</w:t>
      </w:r>
      <w:r w:rsidRPr="00741ED3">
        <w:rPr>
          <w:rFonts w:cstheme="minorHAnsi"/>
        </w:rPr>
        <w:t xml:space="preserve"> seem to be a </w:t>
      </w:r>
      <w:r w:rsidR="00206ECB">
        <w:rPr>
          <w:rFonts w:cstheme="minorHAnsi"/>
        </w:rPr>
        <w:t xml:space="preserve">far </w:t>
      </w:r>
      <w:r>
        <w:rPr>
          <w:rFonts w:cstheme="minorHAnsi"/>
        </w:rPr>
        <w:t xml:space="preserve">more realistic </w:t>
      </w:r>
      <w:r w:rsidRPr="00741ED3">
        <w:rPr>
          <w:rFonts w:cstheme="minorHAnsi"/>
        </w:rPr>
        <w:t>test for exclusion</w:t>
      </w:r>
      <w:r>
        <w:rPr>
          <w:rFonts w:cstheme="minorHAnsi"/>
        </w:rPr>
        <w:t xml:space="preserve"> from free float</w:t>
      </w:r>
      <w:r w:rsidRPr="00741ED3">
        <w:rPr>
          <w:rFonts w:cstheme="minorHAnsi"/>
        </w:rPr>
        <w:t xml:space="preserve"> and aligns with</w:t>
      </w:r>
      <w:r>
        <w:rPr>
          <w:rFonts w:cstheme="minorHAnsi"/>
        </w:rPr>
        <w:t xml:space="preserve"> </w:t>
      </w:r>
      <w:r w:rsidRPr="00741ED3">
        <w:rPr>
          <w:rFonts w:cstheme="minorHAnsi"/>
        </w:rPr>
        <w:t xml:space="preserve">the </w:t>
      </w:r>
      <w:r>
        <w:rPr>
          <w:rFonts w:cstheme="minorHAnsi"/>
        </w:rPr>
        <w:t xml:space="preserve">JSE’s current </w:t>
      </w:r>
      <w:r w:rsidRPr="00741ED3">
        <w:rPr>
          <w:rFonts w:cstheme="minorHAnsi"/>
        </w:rPr>
        <w:t>related party</w:t>
      </w:r>
      <w:r>
        <w:rPr>
          <w:rFonts w:cstheme="minorHAnsi"/>
        </w:rPr>
        <w:t xml:space="preserve"> exclusions pertaining to directors</w:t>
      </w:r>
      <w:r w:rsidR="000F0944">
        <w:rPr>
          <w:rFonts w:cstheme="minorHAnsi"/>
        </w:rPr>
        <w:t xml:space="preserve">, </w:t>
      </w:r>
      <w:r>
        <w:rPr>
          <w:rFonts w:cstheme="minorHAnsi"/>
        </w:rPr>
        <w:t>their associates</w:t>
      </w:r>
      <w:r w:rsidR="000F0944">
        <w:rPr>
          <w:rFonts w:cstheme="minorHAnsi"/>
        </w:rPr>
        <w:t xml:space="preserve"> and extended family (through the </w:t>
      </w:r>
      <w:r w:rsidR="001557CC">
        <w:rPr>
          <w:rFonts w:cstheme="minorHAnsi"/>
        </w:rPr>
        <w:t xml:space="preserve">family cross holdings test). </w:t>
      </w:r>
      <w:r>
        <w:rPr>
          <w:rFonts w:cstheme="minorHAnsi"/>
        </w:rPr>
        <w:t xml:space="preserve">The mere exclusion </w:t>
      </w:r>
      <w:r w:rsidR="00B71680">
        <w:rPr>
          <w:rFonts w:cstheme="minorHAnsi"/>
        </w:rPr>
        <w:t xml:space="preserve">of shareholders </w:t>
      </w:r>
      <w:r>
        <w:rPr>
          <w:rFonts w:cstheme="minorHAnsi"/>
        </w:rPr>
        <w:t xml:space="preserve">based on the size </w:t>
      </w:r>
      <w:r w:rsidR="00197834">
        <w:rPr>
          <w:rFonts w:cstheme="minorHAnsi"/>
        </w:rPr>
        <w:t xml:space="preserve">of </w:t>
      </w:r>
      <w:r>
        <w:rPr>
          <w:rFonts w:cstheme="minorHAnsi"/>
        </w:rPr>
        <w:t>holding</w:t>
      </w:r>
      <w:r w:rsidR="00197834">
        <w:rPr>
          <w:rFonts w:cstheme="minorHAnsi"/>
        </w:rPr>
        <w:t>s</w:t>
      </w:r>
      <w:r w:rsidR="005B47FB">
        <w:rPr>
          <w:rFonts w:cstheme="minorHAnsi"/>
        </w:rPr>
        <w:t xml:space="preserve"> alone,</w:t>
      </w:r>
      <w:r w:rsidR="00197834">
        <w:rPr>
          <w:rFonts w:cstheme="minorHAnsi"/>
        </w:rPr>
        <w:t xml:space="preserve"> where they are </w:t>
      </w:r>
      <w:r>
        <w:rPr>
          <w:rFonts w:cstheme="minorHAnsi"/>
        </w:rPr>
        <w:t>unaffiliated to the directors</w:t>
      </w:r>
      <w:r w:rsidR="00197834">
        <w:rPr>
          <w:rFonts w:cstheme="minorHAnsi"/>
        </w:rPr>
        <w:t xml:space="preserve">, </w:t>
      </w:r>
      <w:r>
        <w:rPr>
          <w:rFonts w:cstheme="minorHAnsi"/>
        </w:rPr>
        <w:t>associates</w:t>
      </w:r>
      <w:r w:rsidR="00197834">
        <w:rPr>
          <w:rFonts w:cstheme="minorHAnsi"/>
        </w:rPr>
        <w:t xml:space="preserve"> and family</w:t>
      </w:r>
      <w:r>
        <w:rPr>
          <w:rFonts w:cstheme="minorHAnsi"/>
        </w:rPr>
        <w:t xml:space="preserve"> of the applicant issuer should be reconsidered and</w:t>
      </w:r>
      <w:r w:rsidR="00B474AB">
        <w:rPr>
          <w:rFonts w:cstheme="minorHAnsi"/>
        </w:rPr>
        <w:t xml:space="preserve"> </w:t>
      </w:r>
      <w:r>
        <w:rPr>
          <w:rFonts w:cstheme="minorHAnsi"/>
        </w:rPr>
        <w:t xml:space="preserve">challenged. </w:t>
      </w:r>
      <w:r w:rsidR="006C2F15">
        <w:rPr>
          <w:rFonts w:cstheme="minorHAnsi"/>
        </w:rPr>
        <w:t>It should further be noted than this parti</w:t>
      </w:r>
      <w:r w:rsidR="004D359B">
        <w:rPr>
          <w:rFonts w:cstheme="minorHAnsi"/>
        </w:rPr>
        <w:t>cular</w:t>
      </w:r>
      <w:r w:rsidR="006C2F15">
        <w:rPr>
          <w:rFonts w:cstheme="minorHAnsi"/>
        </w:rPr>
        <w:t xml:space="preserve"> provision </w:t>
      </w:r>
      <w:r w:rsidR="004D359B">
        <w:rPr>
          <w:rFonts w:cstheme="minorHAnsi"/>
        </w:rPr>
        <w:t>has rem</w:t>
      </w:r>
      <w:r w:rsidR="00DC1EB2">
        <w:rPr>
          <w:rFonts w:cstheme="minorHAnsi"/>
        </w:rPr>
        <w:t>ained</w:t>
      </w:r>
      <w:r w:rsidR="004D359B">
        <w:rPr>
          <w:rFonts w:cstheme="minorHAnsi"/>
        </w:rPr>
        <w:t xml:space="preserve"> untouched for the past 20 years,</w:t>
      </w:r>
      <w:r w:rsidR="00DC1EB2">
        <w:rPr>
          <w:rFonts w:cstheme="minorHAnsi"/>
        </w:rPr>
        <w:t xml:space="preserve"> and as part of the reforms being proposed by the JSE, it may be time to reconsider the regulatory relevance of the exclusion.  </w:t>
      </w:r>
      <w:r w:rsidR="004D359B">
        <w:rPr>
          <w:rFonts w:cstheme="minorHAnsi"/>
        </w:rPr>
        <w:t xml:space="preserve"> </w:t>
      </w:r>
    </w:p>
    <w:p w14:paraId="756224CC" w14:textId="77777777" w:rsidR="0095021D" w:rsidRPr="00741ED3" w:rsidRDefault="0095021D" w:rsidP="0095021D">
      <w:pPr>
        <w:spacing w:after="0" w:line="240" w:lineRule="auto"/>
        <w:jc w:val="both"/>
        <w:rPr>
          <w:rFonts w:cstheme="minorHAnsi"/>
        </w:rPr>
      </w:pPr>
    </w:p>
    <w:p w14:paraId="512A9FB8" w14:textId="261B40D5" w:rsidR="0095021D" w:rsidRDefault="0095021D" w:rsidP="0095021D">
      <w:pPr>
        <w:spacing w:after="0" w:line="240" w:lineRule="auto"/>
        <w:jc w:val="both"/>
        <w:rPr>
          <w:rFonts w:cstheme="minorHAnsi"/>
        </w:rPr>
      </w:pPr>
      <w:r>
        <w:rPr>
          <w:rFonts w:cstheme="minorHAnsi"/>
        </w:rPr>
        <w:t xml:space="preserve">Although the initial aim of the JSE was to consider avenues to allow the participation of </w:t>
      </w:r>
      <w:r w:rsidRPr="00741ED3">
        <w:rPr>
          <w:rFonts w:cstheme="minorHAnsi"/>
        </w:rPr>
        <w:t>fund managers</w:t>
      </w:r>
      <w:r>
        <w:rPr>
          <w:rFonts w:cstheme="minorHAnsi"/>
        </w:rPr>
        <w:t xml:space="preserve"> and portfolio managers, with holdings of 10% or more, to qualify as free float, its scope has now widened</w:t>
      </w:r>
      <w:r w:rsidR="00420134">
        <w:rPr>
          <w:rFonts w:cstheme="minorHAnsi"/>
        </w:rPr>
        <w:t xml:space="preserve">. After considering the </w:t>
      </w:r>
      <w:r w:rsidR="00492731">
        <w:rPr>
          <w:rFonts w:cstheme="minorHAnsi"/>
        </w:rPr>
        <w:t>free float assessment</w:t>
      </w:r>
      <w:r w:rsidR="007E4030">
        <w:rPr>
          <w:rFonts w:cstheme="minorHAnsi"/>
        </w:rPr>
        <w:t>s</w:t>
      </w:r>
      <w:r w:rsidR="00492731">
        <w:rPr>
          <w:rFonts w:cstheme="minorHAnsi"/>
        </w:rPr>
        <w:t xml:space="preserve"> </w:t>
      </w:r>
      <w:r w:rsidR="009740C3">
        <w:rPr>
          <w:rFonts w:cstheme="minorHAnsi"/>
        </w:rPr>
        <w:t>of the ASX, SGX and HKEX</w:t>
      </w:r>
      <w:r w:rsidR="006865B6">
        <w:rPr>
          <w:rFonts w:cstheme="minorHAnsi"/>
        </w:rPr>
        <w:t>,</w:t>
      </w:r>
      <w:r w:rsidR="009740C3">
        <w:rPr>
          <w:rFonts w:cstheme="minorHAnsi"/>
        </w:rPr>
        <w:t xml:space="preserve"> the JSE is</w:t>
      </w:r>
      <w:r w:rsidR="00B71680">
        <w:rPr>
          <w:rFonts w:cstheme="minorHAnsi"/>
        </w:rPr>
        <w:t xml:space="preserve"> consider</w:t>
      </w:r>
      <w:r w:rsidR="006865B6">
        <w:rPr>
          <w:rFonts w:cstheme="minorHAnsi"/>
        </w:rPr>
        <w:t>ing</w:t>
      </w:r>
      <w:r w:rsidR="00B71680">
        <w:rPr>
          <w:rFonts w:cstheme="minorHAnsi"/>
        </w:rPr>
        <w:t xml:space="preserve"> the removal of the 10% </w:t>
      </w:r>
      <w:r w:rsidR="0072223D">
        <w:rPr>
          <w:rFonts w:cstheme="minorHAnsi"/>
        </w:rPr>
        <w:t>exclusion altogether</w:t>
      </w:r>
      <w:r w:rsidR="00127EB0">
        <w:rPr>
          <w:rFonts w:cstheme="minorHAnsi"/>
        </w:rPr>
        <w:t xml:space="preserve">, provided there is a minimum number of shareholders. </w:t>
      </w:r>
      <w:r w:rsidR="006865B6">
        <w:rPr>
          <w:rFonts w:cstheme="minorHAnsi"/>
        </w:rPr>
        <w:t xml:space="preserve">The JSE </w:t>
      </w:r>
      <w:proofErr w:type="spellStart"/>
      <w:r w:rsidR="006865B6">
        <w:rPr>
          <w:rFonts w:cstheme="minorHAnsi"/>
        </w:rPr>
        <w:t>r</w:t>
      </w:r>
      <w:r w:rsidR="00127EB0">
        <w:rPr>
          <w:rFonts w:cstheme="minorHAnsi"/>
        </w:rPr>
        <w:t>ecognis</w:t>
      </w:r>
      <w:r w:rsidR="006865B6">
        <w:rPr>
          <w:rFonts w:cstheme="minorHAnsi"/>
        </w:rPr>
        <w:t>es</w:t>
      </w:r>
      <w:proofErr w:type="spellEnd"/>
      <w:r w:rsidR="00127EB0">
        <w:rPr>
          <w:rFonts w:cstheme="minorHAnsi"/>
        </w:rPr>
        <w:t xml:space="preserve"> that </w:t>
      </w:r>
      <w:r w:rsidR="006865B6">
        <w:rPr>
          <w:rFonts w:cstheme="minorHAnsi"/>
        </w:rPr>
        <w:t>it</w:t>
      </w:r>
      <w:r w:rsidR="00127EB0">
        <w:rPr>
          <w:rFonts w:cstheme="minorHAnsi"/>
        </w:rPr>
        <w:t xml:space="preserve"> removed the minimum number of shareholders a few years back, </w:t>
      </w:r>
      <w:r w:rsidR="006865B6">
        <w:rPr>
          <w:rFonts w:cstheme="minorHAnsi"/>
        </w:rPr>
        <w:t xml:space="preserve">however the reintroduction of a minimum number of shareholders </w:t>
      </w:r>
      <w:r w:rsidR="00DB0A01">
        <w:rPr>
          <w:rFonts w:cstheme="minorHAnsi"/>
        </w:rPr>
        <w:t xml:space="preserve">will counter the scenario where the percentage of </w:t>
      </w:r>
      <w:r w:rsidR="00B04BEE">
        <w:rPr>
          <w:rFonts w:cstheme="minorHAnsi"/>
        </w:rPr>
        <w:t xml:space="preserve">free float </w:t>
      </w:r>
      <w:r w:rsidR="00DB0A01">
        <w:rPr>
          <w:rFonts w:cstheme="minorHAnsi"/>
        </w:rPr>
        <w:t>(now being proposed at 10%)</w:t>
      </w:r>
      <w:r w:rsidR="000A3886">
        <w:rPr>
          <w:rFonts w:cstheme="minorHAnsi"/>
        </w:rPr>
        <w:t xml:space="preserve"> is achieved with only one shareholder.</w:t>
      </w:r>
      <w:r w:rsidR="006865B6">
        <w:rPr>
          <w:rFonts w:cstheme="minorHAnsi"/>
        </w:rPr>
        <w:t xml:space="preserve"> Furthermore, a minimum number of shareholders may </w:t>
      </w:r>
      <w:r w:rsidR="00412665">
        <w:rPr>
          <w:rFonts w:cstheme="minorHAnsi"/>
        </w:rPr>
        <w:t xml:space="preserve">further </w:t>
      </w:r>
      <w:r w:rsidR="006865B6">
        <w:rPr>
          <w:rFonts w:cstheme="minorHAnsi"/>
        </w:rPr>
        <w:t xml:space="preserve">positively impact price formation and secondary market trade. </w:t>
      </w:r>
    </w:p>
    <w:p w14:paraId="39917758" w14:textId="1C9C3886" w:rsidR="00F15181" w:rsidRDefault="00F15181" w:rsidP="0095021D">
      <w:pPr>
        <w:spacing w:after="0" w:line="240" w:lineRule="auto"/>
        <w:jc w:val="both"/>
        <w:rPr>
          <w:rFonts w:cstheme="minorHAnsi"/>
        </w:rPr>
      </w:pPr>
    </w:p>
    <w:p w14:paraId="67A89055" w14:textId="79012021" w:rsidR="00F15181" w:rsidRDefault="00F15181" w:rsidP="00F15181">
      <w:pPr>
        <w:spacing w:line="240" w:lineRule="auto"/>
        <w:jc w:val="both"/>
        <w:rPr>
          <w:rFonts w:cstheme="minorHAnsi"/>
        </w:rPr>
      </w:pPr>
      <w:r>
        <w:rPr>
          <w:rFonts w:cstheme="minorHAnsi"/>
        </w:rPr>
        <w:t xml:space="preserve">The JSE </w:t>
      </w:r>
      <w:r w:rsidR="00396704">
        <w:rPr>
          <w:rFonts w:cstheme="minorHAnsi"/>
        </w:rPr>
        <w:t>is further of the view</w:t>
      </w:r>
      <w:r>
        <w:rPr>
          <w:rFonts w:cstheme="minorHAnsi"/>
        </w:rPr>
        <w:t xml:space="preserve"> that where a shareholder</w:t>
      </w:r>
      <w:r w:rsidR="006B53EE">
        <w:rPr>
          <w:rFonts w:cstheme="minorHAnsi"/>
        </w:rPr>
        <w:t xml:space="preserve"> </w:t>
      </w:r>
      <w:r>
        <w:rPr>
          <w:rFonts w:cstheme="minorHAnsi"/>
        </w:rPr>
        <w:t xml:space="preserve">exercises control (&gt;35%), such shareholder should be excluded from free float and </w:t>
      </w:r>
      <w:r w:rsidR="006B53EE">
        <w:rPr>
          <w:rFonts w:cstheme="minorHAnsi"/>
        </w:rPr>
        <w:t xml:space="preserve">this approach </w:t>
      </w:r>
      <w:r>
        <w:rPr>
          <w:rFonts w:cstheme="minorHAnsi"/>
        </w:rPr>
        <w:t xml:space="preserve">aligns with the ASX. However, there is </w:t>
      </w:r>
      <w:r w:rsidR="00AA6D4E">
        <w:rPr>
          <w:rFonts w:cstheme="minorHAnsi"/>
        </w:rPr>
        <w:t xml:space="preserve">still </w:t>
      </w:r>
      <w:r>
        <w:rPr>
          <w:rFonts w:cstheme="minorHAnsi"/>
        </w:rPr>
        <w:t>a lot of scope between the current 10% exclusion and 35%, to allow shareholders with no relations whatsoever with the board</w:t>
      </w:r>
      <w:r w:rsidR="00553A4B">
        <w:rPr>
          <w:rFonts w:cstheme="minorHAnsi"/>
        </w:rPr>
        <w:t xml:space="preserve">, </w:t>
      </w:r>
      <w:r>
        <w:rPr>
          <w:rFonts w:cstheme="minorHAnsi"/>
        </w:rPr>
        <w:t>its associates</w:t>
      </w:r>
      <w:r w:rsidR="00553A4B">
        <w:rPr>
          <w:rFonts w:cstheme="minorHAnsi"/>
        </w:rPr>
        <w:t xml:space="preserve"> and family</w:t>
      </w:r>
      <w:r>
        <w:rPr>
          <w:rFonts w:cstheme="minorHAnsi"/>
        </w:rPr>
        <w:t xml:space="preserve"> to qualify </w:t>
      </w:r>
      <w:r w:rsidR="00553A4B">
        <w:rPr>
          <w:rFonts w:cstheme="minorHAnsi"/>
        </w:rPr>
        <w:t>as</w:t>
      </w:r>
      <w:r>
        <w:rPr>
          <w:rFonts w:cstheme="minorHAnsi"/>
        </w:rPr>
        <w:t xml:space="preserve"> free float.  </w:t>
      </w:r>
    </w:p>
    <w:p w14:paraId="37F80B96" w14:textId="687A9DB5" w:rsidR="00D01074" w:rsidRDefault="0082423B" w:rsidP="0082423B">
      <w:pPr>
        <w:spacing w:line="240" w:lineRule="auto"/>
        <w:jc w:val="both"/>
        <w:rPr>
          <w:rFonts w:cstheme="minorHAnsi"/>
        </w:rPr>
      </w:pPr>
      <w:r>
        <w:rPr>
          <w:rFonts w:cstheme="minorHAnsi"/>
        </w:rPr>
        <w:lastRenderedPageBreak/>
        <w:t>It should be noted that th</w:t>
      </w:r>
      <w:r w:rsidR="00D01074">
        <w:rPr>
          <w:rFonts w:cstheme="minorHAnsi"/>
        </w:rPr>
        <w:t xml:space="preserve">e </w:t>
      </w:r>
      <w:r>
        <w:rPr>
          <w:rFonts w:cstheme="minorHAnsi"/>
        </w:rPr>
        <w:t xml:space="preserve">proposed amendments will have </w:t>
      </w:r>
      <w:r w:rsidR="00D01074">
        <w:rPr>
          <w:rFonts w:cstheme="minorHAnsi"/>
        </w:rPr>
        <w:t xml:space="preserve">direct </w:t>
      </w:r>
      <w:r>
        <w:rPr>
          <w:rFonts w:cstheme="minorHAnsi"/>
        </w:rPr>
        <w:t xml:space="preserve">bearing on </w:t>
      </w:r>
      <w:r w:rsidR="00D01074">
        <w:rPr>
          <w:rFonts w:cstheme="minorHAnsi"/>
        </w:rPr>
        <w:t>public shareholders for purposes of a general issue for cash authority pursuant to paragraph 5.52 of the Requirements.</w:t>
      </w:r>
      <w:r w:rsidR="006865B6">
        <w:rPr>
          <w:rFonts w:cstheme="minorHAnsi"/>
        </w:rPr>
        <w:t xml:space="preserve"> The pool</w:t>
      </w:r>
      <w:r w:rsidR="004A2F64">
        <w:rPr>
          <w:rFonts w:cstheme="minorHAnsi"/>
        </w:rPr>
        <w:t xml:space="preserve"> </w:t>
      </w:r>
      <w:r w:rsidR="002F1C1C">
        <w:rPr>
          <w:rFonts w:cstheme="minorHAnsi"/>
        </w:rPr>
        <w:t xml:space="preserve">of </w:t>
      </w:r>
      <w:r w:rsidR="004A2F64">
        <w:rPr>
          <w:rFonts w:cstheme="minorHAnsi"/>
        </w:rPr>
        <w:t xml:space="preserve">public shareholders will now include holdings of 10% or more, provided </w:t>
      </w:r>
      <w:r w:rsidR="002F1C1C">
        <w:rPr>
          <w:rFonts w:cstheme="minorHAnsi"/>
        </w:rPr>
        <w:t>it meets the remainder of the free float provisions pursuant to paragraph 4.25 of the Requirements.</w:t>
      </w:r>
    </w:p>
    <w:p w14:paraId="51F5C8E3" w14:textId="4E179C74" w:rsidR="00AA6D4E" w:rsidRDefault="003F5B6B" w:rsidP="0082423B">
      <w:pPr>
        <w:spacing w:line="240" w:lineRule="auto"/>
        <w:jc w:val="both"/>
        <w:rPr>
          <w:rFonts w:cstheme="minorHAnsi"/>
        </w:rPr>
      </w:pPr>
      <w:r>
        <w:rPr>
          <w:rFonts w:cstheme="minorHAnsi"/>
        </w:rPr>
        <w:t>The</w:t>
      </w:r>
      <w:r w:rsidR="003D1FB6">
        <w:rPr>
          <w:rFonts w:cstheme="minorHAnsi"/>
        </w:rPr>
        <w:t xml:space="preserve"> proposed amendments impact the assessment of free </w:t>
      </w:r>
      <w:proofErr w:type="gramStart"/>
      <w:r w:rsidR="003D1FB6">
        <w:rPr>
          <w:rFonts w:cstheme="minorHAnsi"/>
        </w:rPr>
        <w:t>float, and</w:t>
      </w:r>
      <w:proofErr w:type="gramEnd"/>
      <w:r w:rsidR="003D1FB6">
        <w:rPr>
          <w:rFonts w:cstheme="minorHAnsi"/>
        </w:rPr>
        <w:t xml:space="preserve"> will therefore have no impact on material shareholders for </w:t>
      </w:r>
      <w:r w:rsidR="00B60C4E">
        <w:rPr>
          <w:rFonts w:cstheme="minorHAnsi"/>
        </w:rPr>
        <w:t>purpose</w:t>
      </w:r>
      <w:r w:rsidR="00A33A61">
        <w:rPr>
          <w:rFonts w:cstheme="minorHAnsi"/>
        </w:rPr>
        <w:t>s</w:t>
      </w:r>
      <w:r w:rsidR="003D1FB6">
        <w:rPr>
          <w:rFonts w:cstheme="minorHAnsi"/>
        </w:rPr>
        <w:t xml:space="preserve"> of related party transaction</w:t>
      </w:r>
      <w:r w:rsidR="00A33A61">
        <w:rPr>
          <w:rFonts w:cstheme="minorHAnsi"/>
        </w:rPr>
        <w:t xml:space="preserve"> pursuant to Section 9 and 10 of the Requirements</w:t>
      </w:r>
      <w:r w:rsidR="003D1FB6">
        <w:rPr>
          <w:rFonts w:cstheme="minorHAnsi"/>
        </w:rPr>
        <w:t xml:space="preserve">.  </w:t>
      </w:r>
    </w:p>
    <w:p w14:paraId="113FEFFF" w14:textId="2698621F" w:rsidR="00DB410F" w:rsidRDefault="005B5345" w:rsidP="0082423B">
      <w:pPr>
        <w:spacing w:line="240" w:lineRule="auto"/>
        <w:jc w:val="both"/>
        <w:rPr>
          <w:rFonts w:cstheme="minorHAnsi"/>
        </w:rPr>
      </w:pPr>
      <w:r>
        <w:rPr>
          <w:rFonts w:cstheme="minorHAnsi"/>
        </w:rPr>
        <w:t>As a closing remark</w:t>
      </w:r>
      <w:r w:rsidR="00DB410F">
        <w:rPr>
          <w:rFonts w:cstheme="minorHAnsi"/>
        </w:rPr>
        <w:t xml:space="preserve">, as an emerging market, the JSE appears to </w:t>
      </w:r>
      <w:r>
        <w:rPr>
          <w:rFonts w:cstheme="minorHAnsi"/>
        </w:rPr>
        <w:t>have the most detailed and prescriptive provisions dealing with free float exclusions</w:t>
      </w:r>
      <w:r w:rsidR="00E61BDC">
        <w:rPr>
          <w:rFonts w:cstheme="minorHAnsi"/>
        </w:rPr>
        <w:t xml:space="preserve"> compared to the </w:t>
      </w:r>
      <w:r w:rsidR="002354C7">
        <w:rPr>
          <w:rFonts w:cstheme="minorHAnsi"/>
        </w:rPr>
        <w:t>exchanges</w:t>
      </w:r>
      <w:r w:rsidR="00E61BDC">
        <w:rPr>
          <w:rFonts w:cstheme="minorHAnsi"/>
        </w:rPr>
        <w:t xml:space="preserve"> above</w:t>
      </w:r>
      <w:r w:rsidR="002354C7">
        <w:rPr>
          <w:rFonts w:cstheme="minorHAnsi"/>
        </w:rPr>
        <w:t>,</w:t>
      </w:r>
      <w:r w:rsidR="00E66599">
        <w:rPr>
          <w:rFonts w:cstheme="minorHAnsi"/>
        </w:rPr>
        <w:t xml:space="preserve"> which </w:t>
      </w:r>
      <w:r w:rsidR="002354C7">
        <w:rPr>
          <w:rFonts w:cstheme="minorHAnsi"/>
        </w:rPr>
        <w:t xml:space="preserve">may impact </w:t>
      </w:r>
      <w:r w:rsidR="00391616">
        <w:rPr>
          <w:rFonts w:cstheme="minorHAnsi"/>
        </w:rPr>
        <w:t>its attractiveness and comp</w:t>
      </w:r>
      <w:r w:rsidR="0056497E">
        <w:rPr>
          <w:rFonts w:cstheme="minorHAnsi"/>
        </w:rPr>
        <w:t>eti</w:t>
      </w:r>
      <w:r w:rsidR="00185625">
        <w:rPr>
          <w:rFonts w:cstheme="minorHAnsi"/>
        </w:rPr>
        <w:t>tiveness</w:t>
      </w:r>
      <w:r w:rsidR="00391616">
        <w:rPr>
          <w:rFonts w:cstheme="minorHAnsi"/>
        </w:rPr>
        <w:t>.</w:t>
      </w:r>
      <w:r>
        <w:rPr>
          <w:rFonts w:cstheme="minorHAnsi"/>
        </w:rPr>
        <w:t xml:space="preserve"> </w:t>
      </w:r>
    </w:p>
    <w:p w14:paraId="439C4A36" w14:textId="1286E03F" w:rsidR="009A6B7D" w:rsidRPr="0088069A" w:rsidRDefault="009A6B7D" w:rsidP="009A6B7D">
      <w:pPr>
        <w:jc w:val="both"/>
        <w:rPr>
          <w:b/>
          <w:bCs/>
        </w:rPr>
      </w:pPr>
      <w:r>
        <w:rPr>
          <w:b/>
          <w:bCs/>
        </w:rPr>
        <w:t>Part D: Special Purpose Acquisition Companies</w:t>
      </w:r>
    </w:p>
    <w:p w14:paraId="740E5A15" w14:textId="77309F50" w:rsidR="009A6B7D" w:rsidRPr="00834FA4" w:rsidRDefault="009A6B7D" w:rsidP="009A6B7D">
      <w:pPr>
        <w:jc w:val="both"/>
        <w:rPr>
          <w:rFonts w:cstheme="minorHAnsi"/>
          <w:b/>
          <w:bCs/>
        </w:rPr>
      </w:pPr>
      <w:r w:rsidRPr="00834FA4">
        <w:rPr>
          <w:rFonts w:cstheme="minorHAnsi"/>
          <w:b/>
          <w:bCs/>
        </w:rPr>
        <w:t>Introduction</w:t>
      </w:r>
    </w:p>
    <w:p w14:paraId="65A2C818"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SPACs were introduced by the JSE back in 2013. A SPAC is a special purpose acquisition company established for the purpose of facilitating the primary capital raising process to enable the acquisition of viable assets in pursuit of a listing on the Main Board or the Alternative Exchange. Viable assets are assets that will qualify for a listing on the respective boards.</w:t>
      </w:r>
    </w:p>
    <w:p w14:paraId="30E33349"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73346F2"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xml:space="preserve">The listing of SPACs is currently permitted on several international stock exchanges, including, but not limited to the New York Stock Exchange, the Nasdaq Stock Market, the London Stock Exchange, the Toronto Stock Exchange, Euronext Amsterdam, Euronext Brussels, Hong Kong Stock Exchange, Singapore Stock </w:t>
      </w:r>
      <w:proofErr w:type="gramStart"/>
      <w:r w:rsidRPr="00834FA4">
        <w:rPr>
          <w:rFonts w:asciiTheme="minorHAnsi" w:hAnsiTheme="minorHAnsi" w:cstheme="minorHAnsi"/>
          <w:sz w:val="22"/>
          <w:szCs w:val="22"/>
        </w:rPr>
        <w:t>Exchange</w:t>
      </w:r>
      <w:proofErr w:type="gramEnd"/>
      <w:r w:rsidRPr="00834FA4">
        <w:rPr>
          <w:rFonts w:asciiTheme="minorHAnsi" w:hAnsiTheme="minorHAnsi" w:cstheme="minorHAnsi"/>
          <w:sz w:val="22"/>
          <w:szCs w:val="22"/>
        </w:rPr>
        <w:t xml:space="preserve"> and Bursa Malaysia. </w:t>
      </w:r>
    </w:p>
    <w:p w14:paraId="25357A12"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0F98DB4F"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t>During 2020 and 2021 the pandemic raised volatility levels, making traditional listings riskier. This resulted in a SPAC boom, especially in the US. SPACs continue to be attractive investment vehicles, although interest may have tapered recently.</w:t>
      </w:r>
    </w:p>
    <w:p w14:paraId="76222636"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1720CE85" w14:textId="082B5EED" w:rsidR="009A6B7D"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xml:space="preserve">Although the JSE believes </w:t>
      </w:r>
      <w:r w:rsidRPr="00834FA4">
        <w:rPr>
          <w:rFonts w:asciiTheme="minorHAnsi" w:hAnsiTheme="minorHAnsi" w:cstheme="minorHAnsi"/>
          <w:color w:val="000000"/>
          <w:sz w:val="22"/>
          <w:szCs w:val="22"/>
          <w:shd w:val="clear" w:color="auto" w:fill="FFFFFF"/>
        </w:rPr>
        <w:t>that</w:t>
      </w:r>
      <w:r w:rsidRPr="00834FA4">
        <w:rPr>
          <w:rFonts w:asciiTheme="minorHAnsi" w:hAnsiTheme="minorHAnsi" w:cstheme="minorHAnsi"/>
          <w:sz w:val="22"/>
          <w:szCs w:val="22"/>
        </w:rPr>
        <w:t xml:space="preserve"> its SPAC offering is accessible and flexible, there is a need to update some areas to be more in line with the international markets where SPACs have flourished.  </w:t>
      </w:r>
    </w:p>
    <w:p w14:paraId="02E56286" w14:textId="3501598A" w:rsidR="0080597B" w:rsidRDefault="0080597B"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0FD4D915" w14:textId="7398ABDB" w:rsidR="0080597B" w:rsidRDefault="0080597B"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4305D75C" w14:textId="5223C65A" w:rsidR="0080597B" w:rsidRDefault="0080597B"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417D540B" w14:textId="000E12AD" w:rsidR="0080597B" w:rsidRDefault="0080597B"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36EF20CF" w14:textId="77777777" w:rsidR="0080597B" w:rsidRPr="00834FA4" w:rsidRDefault="0080597B"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609F832E"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627864C2"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lastRenderedPageBreak/>
        <w:t>Through these proposed amendments the JSE aims to ensure that its SPAC offering remains current and relevant and aligns with leading international markets. It is important to ensure that when demand for SPACs increase that our listing framework is competitive.</w:t>
      </w:r>
    </w:p>
    <w:p w14:paraId="3FBE59A4" w14:textId="77777777" w:rsidR="009A6B7D" w:rsidRPr="00834FA4" w:rsidRDefault="009A6B7D" w:rsidP="009A6B7D">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tbl>
      <w:tblPr>
        <w:tblStyle w:val="TableGrid"/>
        <w:tblW w:w="13176" w:type="dxa"/>
        <w:tblLook w:val="04A0" w:firstRow="1" w:lastRow="0" w:firstColumn="1" w:lastColumn="0" w:noHBand="0" w:noVBand="1"/>
      </w:tblPr>
      <w:tblGrid>
        <w:gridCol w:w="853"/>
        <w:gridCol w:w="1552"/>
        <w:gridCol w:w="6039"/>
        <w:gridCol w:w="4732"/>
      </w:tblGrid>
      <w:tr w:rsidR="009A6B7D" w:rsidRPr="00834FA4" w14:paraId="74964CA8" w14:textId="77777777" w:rsidTr="00C37316">
        <w:trPr>
          <w:trHeight w:val="692"/>
        </w:trPr>
        <w:tc>
          <w:tcPr>
            <w:tcW w:w="853" w:type="dxa"/>
            <w:shd w:val="clear" w:color="auto" w:fill="BFBFBF" w:themeFill="background1" w:themeFillShade="BF"/>
          </w:tcPr>
          <w:p w14:paraId="0217A885" w14:textId="77777777" w:rsidR="009A6B7D" w:rsidRPr="00834FA4" w:rsidRDefault="009A6B7D" w:rsidP="00C37316">
            <w:pPr>
              <w:jc w:val="both"/>
              <w:rPr>
                <w:rFonts w:cstheme="minorHAnsi"/>
                <w:b/>
              </w:rPr>
            </w:pPr>
            <w:r w:rsidRPr="00834FA4">
              <w:rPr>
                <w:rFonts w:cstheme="minorHAnsi"/>
                <w:b/>
              </w:rPr>
              <w:t xml:space="preserve">Item </w:t>
            </w:r>
          </w:p>
        </w:tc>
        <w:tc>
          <w:tcPr>
            <w:tcW w:w="1552" w:type="dxa"/>
            <w:shd w:val="clear" w:color="auto" w:fill="BFBFBF" w:themeFill="background1" w:themeFillShade="BF"/>
          </w:tcPr>
          <w:p w14:paraId="60A8A9B7" w14:textId="77777777" w:rsidR="009A6B7D" w:rsidRPr="00834FA4" w:rsidRDefault="009A6B7D" w:rsidP="00C37316">
            <w:pPr>
              <w:jc w:val="both"/>
              <w:rPr>
                <w:rFonts w:cstheme="minorHAnsi"/>
                <w:b/>
              </w:rPr>
            </w:pPr>
            <w:r w:rsidRPr="00834FA4">
              <w:rPr>
                <w:rFonts w:cstheme="minorHAnsi"/>
                <w:b/>
              </w:rPr>
              <w:t>Section</w:t>
            </w:r>
          </w:p>
        </w:tc>
        <w:tc>
          <w:tcPr>
            <w:tcW w:w="6039" w:type="dxa"/>
            <w:shd w:val="clear" w:color="auto" w:fill="BFBFBF" w:themeFill="background1" w:themeFillShade="BF"/>
          </w:tcPr>
          <w:p w14:paraId="4183C28D" w14:textId="77777777" w:rsidR="009A6B7D" w:rsidRPr="00834FA4" w:rsidRDefault="009A6B7D" w:rsidP="00C37316">
            <w:pPr>
              <w:jc w:val="both"/>
              <w:rPr>
                <w:rFonts w:cstheme="minorHAnsi"/>
                <w:b/>
              </w:rPr>
            </w:pPr>
            <w:r w:rsidRPr="00834FA4">
              <w:rPr>
                <w:rFonts w:cstheme="minorHAnsi"/>
                <w:b/>
              </w:rPr>
              <w:t>Proposed Amendment</w:t>
            </w:r>
          </w:p>
        </w:tc>
        <w:tc>
          <w:tcPr>
            <w:tcW w:w="4732" w:type="dxa"/>
            <w:shd w:val="clear" w:color="auto" w:fill="BFBFBF" w:themeFill="background1" w:themeFillShade="BF"/>
          </w:tcPr>
          <w:p w14:paraId="76CB695F" w14:textId="77777777" w:rsidR="009A6B7D" w:rsidRPr="00834FA4" w:rsidRDefault="009A6B7D" w:rsidP="00C37316">
            <w:pPr>
              <w:jc w:val="both"/>
              <w:rPr>
                <w:rFonts w:cstheme="minorHAnsi"/>
                <w:b/>
              </w:rPr>
            </w:pPr>
            <w:r w:rsidRPr="00834FA4">
              <w:rPr>
                <w:rFonts w:cstheme="minorHAnsi"/>
                <w:b/>
              </w:rPr>
              <w:t>Nature of amendments and rationale</w:t>
            </w:r>
          </w:p>
        </w:tc>
      </w:tr>
      <w:tr w:rsidR="009A6B7D" w:rsidRPr="00834FA4" w14:paraId="36075DBB" w14:textId="77777777" w:rsidTr="00C37316">
        <w:tc>
          <w:tcPr>
            <w:tcW w:w="853" w:type="dxa"/>
          </w:tcPr>
          <w:p w14:paraId="4507BFA5" w14:textId="77777777" w:rsidR="009A6B7D" w:rsidRPr="00834FA4" w:rsidRDefault="009A6B7D" w:rsidP="00C37316">
            <w:pPr>
              <w:jc w:val="both"/>
              <w:rPr>
                <w:rFonts w:cstheme="minorHAnsi"/>
                <w:b/>
              </w:rPr>
            </w:pPr>
          </w:p>
        </w:tc>
        <w:tc>
          <w:tcPr>
            <w:tcW w:w="1552" w:type="dxa"/>
            <w:shd w:val="clear" w:color="auto" w:fill="FFFFFF" w:themeFill="background1"/>
          </w:tcPr>
          <w:p w14:paraId="554FE519" w14:textId="77777777" w:rsidR="009A6B7D" w:rsidRPr="00834FA4" w:rsidRDefault="009A6B7D" w:rsidP="00C37316">
            <w:pPr>
              <w:jc w:val="both"/>
              <w:rPr>
                <w:rFonts w:cstheme="minorHAnsi"/>
                <w:b/>
              </w:rPr>
            </w:pPr>
          </w:p>
        </w:tc>
        <w:tc>
          <w:tcPr>
            <w:tcW w:w="6039" w:type="dxa"/>
            <w:shd w:val="clear" w:color="auto" w:fill="FFFFFF" w:themeFill="background1"/>
          </w:tcPr>
          <w:p w14:paraId="7514C6D9" w14:textId="77777777" w:rsidR="009A6B7D" w:rsidRPr="00834FA4" w:rsidRDefault="009A6B7D" w:rsidP="00C37316">
            <w:pPr>
              <w:jc w:val="both"/>
              <w:rPr>
                <w:rFonts w:cstheme="minorHAnsi"/>
                <w:b/>
                <w:i/>
                <w:color w:val="FF0000"/>
              </w:rPr>
            </w:pPr>
          </w:p>
        </w:tc>
        <w:tc>
          <w:tcPr>
            <w:tcW w:w="4732" w:type="dxa"/>
            <w:shd w:val="clear" w:color="auto" w:fill="FFFFFF" w:themeFill="background1"/>
          </w:tcPr>
          <w:p w14:paraId="391D59B6" w14:textId="77777777" w:rsidR="009A6B7D" w:rsidRPr="00834FA4" w:rsidRDefault="009A6B7D" w:rsidP="00C37316">
            <w:pPr>
              <w:jc w:val="both"/>
              <w:rPr>
                <w:rFonts w:cstheme="minorHAnsi"/>
              </w:rPr>
            </w:pPr>
          </w:p>
        </w:tc>
      </w:tr>
      <w:tr w:rsidR="009A6B7D" w:rsidRPr="00834FA4" w14:paraId="128DDE35" w14:textId="77777777" w:rsidTr="00C37316">
        <w:tc>
          <w:tcPr>
            <w:tcW w:w="853" w:type="dxa"/>
          </w:tcPr>
          <w:p w14:paraId="53A394C4" w14:textId="77777777" w:rsidR="009A6B7D" w:rsidRPr="00834FA4" w:rsidRDefault="009A6B7D" w:rsidP="00C37316">
            <w:pPr>
              <w:jc w:val="both"/>
              <w:rPr>
                <w:rFonts w:cstheme="minorHAnsi"/>
                <w:b/>
              </w:rPr>
            </w:pPr>
            <w:r>
              <w:rPr>
                <w:rFonts w:cstheme="minorHAnsi"/>
                <w:b/>
              </w:rPr>
              <w:t xml:space="preserve">1 </w:t>
            </w:r>
          </w:p>
        </w:tc>
        <w:tc>
          <w:tcPr>
            <w:tcW w:w="1552" w:type="dxa"/>
          </w:tcPr>
          <w:p w14:paraId="458F0822" w14:textId="77777777" w:rsidR="009A6B7D" w:rsidRPr="00834FA4" w:rsidRDefault="009A6B7D" w:rsidP="00C37316">
            <w:pPr>
              <w:jc w:val="both"/>
              <w:rPr>
                <w:rFonts w:cstheme="minorHAnsi"/>
                <w:b/>
                <w:bCs/>
              </w:rPr>
            </w:pPr>
            <w:r w:rsidRPr="00834FA4">
              <w:rPr>
                <w:rFonts w:cstheme="minorHAnsi"/>
                <w:b/>
                <w:bCs/>
              </w:rPr>
              <w:t>Section 4: Conditions of Listing</w:t>
            </w:r>
          </w:p>
        </w:tc>
        <w:tc>
          <w:tcPr>
            <w:tcW w:w="6039" w:type="dxa"/>
          </w:tcPr>
          <w:p w14:paraId="1B37CD88" w14:textId="77777777" w:rsidR="009A6B7D" w:rsidRPr="00834FA4" w:rsidRDefault="009A6B7D" w:rsidP="00C37316">
            <w:pPr>
              <w:jc w:val="both"/>
              <w:rPr>
                <w:rFonts w:cstheme="minorHAnsi"/>
                <w:b/>
                <w:bCs/>
              </w:rPr>
            </w:pPr>
            <w:r w:rsidRPr="00834FA4">
              <w:rPr>
                <w:rFonts w:cstheme="minorHAnsi"/>
                <w:b/>
                <w:bCs/>
              </w:rPr>
              <w:t>Industry of viable assets</w:t>
            </w:r>
          </w:p>
          <w:p w14:paraId="46D49154" w14:textId="77777777" w:rsidR="009A6B7D" w:rsidRPr="00834FA4" w:rsidRDefault="009A6B7D" w:rsidP="00C37316">
            <w:pPr>
              <w:jc w:val="both"/>
              <w:rPr>
                <w:rFonts w:cstheme="minorHAnsi"/>
                <w:b/>
              </w:rPr>
            </w:pPr>
            <w:r w:rsidRPr="00834FA4">
              <w:rPr>
                <w:rFonts w:cstheme="minorHAnsi"/>
                <w:b/>
              </w:rPr>
              <w:t>New expanded paragraph 4.3</w:t>
            </w:r>
            <w:r>
              <w:rPr>
                <w:rFonts w:cstheme="minorHAnsi"/>
                <w:b/>
              </w:rPr>
              <w:t>4</w:t>
            </w:r>
            <w:r w:rsidRPr="00834FA4">
              <w:rPr>
                <w:rFonts w:cstheme="minorHAnsi"/>
                <w:b/>
              </w:rPr>
              <w:t>(b)</w:t>
            </w:r>
          </w:p>
          <w:p w14:paraId="63D822D3" w14:textId="77777777" w:rsidR="009A6B7D" w:rsidRPr="00834FA4" w:rsidRDefault="009A6B7D" w:rsidP="00C37316">
            <w:pPr>
              <w:jc w:val="both"/>
              <w:rPr>
                <w:rFonts w:cstheme="minorHAnsi"/>
                <w:b/>
              </w:rPr>
            </w:pPr>
          </w:p>
          <w:p w14:paraId="75BCD449"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t>The JSE intends to amend the JSE Listings Requirements</w:t>
            </w:r>
            <w:r>
              <w:rPr>
                <w:rFonts w:asciiTheme="minorHAnsi" w:hAnsiTheme="minorHAnsi" w:cstheme="minorHAnsi"/>
                <w:color w:val="000000"/>
                <w:sz w:val="22"/>
                <w:szCs w:val="22"/>
                <w:shd w:val="clear" w:color="auto" w:fill="FFFFFF"/>
              </w:rPr>
              <w:t xml:space="preserve"> (the “</w:t>
            </w:r>
            <w:r w:rsidRPr="00D9159A">
              <w:rPr>
                <w:rFonts w:asciiTheme="minorHAnsi" w:hAnsiTheme="minorHAnsi" w:cstheme="minorHAnsi"/>
                <w:b/>
                <w:bCs/>
                <w:color w:val="000000"/>
                <w:sz w:val="22"/>
                <w:szCs w:val="22"/>
                <w:shd w:val="clear" w:color="auto" w:fill="FFFFFF"/>
              </w:rPr>
              <w:t>Requirements</w:t>
            </w:r>
            <w:r>
              <w:rPr>
                <w:rFonts w:asciiTheme="minorHAnsi" w:hAnsiTheme="minorHAnsi" w:cstheme="minorHAnsi"/>
                <w:color w:val="000000"/>
                <w:sz w:val="22"/>
                <w:szCs w:val="22"/>
                <w:shd w:val="clear" w:color="auto" w:fill="FFFFFF"/>
              </w:rPr>
              <w:t>”)</w:t>
            </w:r>
            <w:r w:rsidRPr="00834FA4">
              <w:rPr>
                <w:rFonts w:asciiTheme="minorHAnsi" w:hAnsiTheme="minorHAnsi" w:cstheme="minorHAnsi"/>
                <w:color w:val="000000"/>
                <w:sz w:val="22"/>
                <w:szCs w:val="22"/>
                <w:shd w:val="clear" w:color="auto" w:fill="FFFFFF"/>
              </w:rPr>
              <w:t xml:space="preserve"> to afford more clarity on the acquisition criteria of viable assets, by requiring a SPAC to include details of the operating industry in which it will seek viable assets.</w:t>
            </w:r>
          </w:p>
          <w:p w14:paraId="6828FA57"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tc>
        <w:tc>
          <w:tcPr>
            <w:tcW w:w="4732" w:type="dxa"/>
          </w:tcPr>
          <w:p w14:paraId="0718C555" w14:textId="77777777" w:rsidR="009A6B7D" w:rsidRPr="00834FA4" w:rsidRDefault="009A6B7D" w:rsidP="00C37316">
            <w:pPr>
              <w:jc w:val="both"/>
              <w:rPr>
                <w:rFonts w:cstheme="minorHAnsi"/>
              </w:rPr>
            </w:pPr>
            <w:r w:rsidRPr="00834FA4">
              <w:rPr>
                <w:rFonts w:cstheme="minorHAnsi"/>
              </w:rPr>
              <w:t>The amendment aims to afford more detail for investors on the type of viable assets a SPAC may pursue. Investors may have an informed view on a particular industry/</w:t>
            </w:r>
            <w:proofErr w:type="spellStart"/>
            <w:r w:rsidRPr="00834FA4">
              <w:rPr>
                <w:rFonts w:cstheme="minorHAnsi"/>
              </w:rPr>
              <w:t>ies</w:t>
            </w:r>
            <w:proofErr w:type="spellEnd"/>
            <w:r w:rsidRPr="00834FA4">
              <w:rPr>
                <w:rFonts w:cstheme="minorHAnsi"/>
              </w:rPr>
              <w:t xml:space="preserve"> and will then know from the outset whether they wish to invest or not. </w:t>
            </w:r>
          </w:p>
          <w:p w14:paraId="5C570CAB" w14:textId="77777777" w:rsidR="009A6B7D" w:rsidRPr="00834FA4" w:rsidRDefault="009A6B7D" w:rsidP="00C37316">
            <w:pPr>
              <w:jc w:val="both"/>
              <w:rPr>
                <w:rFonts w:cstheme="minorHAnsi"/>
              </w:rPr>
            </w:pPr>
          </w:p>
        </w:tc>
      </w:tr>
      <w:tr w:rsidR="009A6B7D" w:rsidRPr="00834FA4" w14:paraId="32F63133" w14:textId="77777777" w:rsidTr="00C37316">
        <w:tc>
          <w:tcPr>
            <w:tcW w:w="853" w:type="dxa"/>
          </w:tcPr>
          <w:p w14:paraId="679241D0" w14:textId="77777777" w:rsidR="009A6B7D" w:rsidRPr="00834FA4" w:rsidRDefault="009A6B7D" w:rsidP="00C37316">
            <w:pPr>
              <w:jc w:val="both"/>
              <w:rPr>
                <w:rFonts w:cstheme="minorHAnsi"/>
                <w:b/>
              </w:rPr>
            </w:pPr>
          </w:p>
        </w:tc>
        <w:tc>
          <w:tcPr>
            <w:tcW w:w="1552" w:type="dxa"/>
          </w:tcPr>
          <w:p w14:paraId="70F3A8FE" w14:textId="77777777" w:rsidR="009A6B7D" w:rsidRPr="00834FA4" w:rsidRDefault="009A6B7D" w:rsidP="00C37316">
            <w:pPr>
              <w:jc w:val="both"/>
              <w:rPr>
                <w:rFonts w:cstheme="minorHAnsi"/>
              </w:rPr>
            </w:pPr>
          </w:p>
        </w:tc>
        <w:tc>
          <w:tcPr>
            <w:tcW w:w="6039" w:type="dxa"/>
          </w:tcPr>
          <w:p w14:paraId="4EA70FB5" w14:textId="77777777" w:rsidR="009A6B7D" w:rsidRPr="00834FA4" w:rsidRDefault="009A6B7D" w:rsidP="00C37316">
            <w:pPr>
              <w:jc w:val="both"/>
              <w:rPr>
                <w:rFonts w:cstheme="minorHAnsi"/>
                <w:b/>
                <w:bCs/>
              </w:rPr>
            </w:pPr>
          </w:p>
        </w:tc>
        <w:tc>
          <w:tcPr>
            <w:tcW w:w="4732" w:type="dxa"/>
          </w:tcPr>
          <w:p w14:paraId="7A128145" w14:textId="77777777" w:rsidR="009A6B7D" w:rsidRPr="00834FA4" w:rsidRDefault="009A6B7D" w:rsidP="00C37316">
            <w:pPr>
              <w:jc w:val="both"/>
              <w:rPr>
                <w:rFonts w:cstheme="minorHAnsi"/>
              </w:rPr>
            </w:pPr>
          </w:p>
        </w:tc>
      </w:tr>
      <w:tr w:rsidR="009A6B7D" w:rsidRPr="00834FA4" w14:paraId="05AB1001" w14:textId="77777777" w:rsidTr="00C37316">
        <w:tc>
          <w:tcPr>
            <w:tcW w:w="853" w:type="dxa"/>
          </w:tcPr>
          <w:p w14:paraId="29CA3231" w14:textId="77777777" w:rsidR="009A6B7D" w:rsidRPr="00834FA4" w:rsidRDefault="009A6B7D" w:rsidP="00C37316">
            <w:pPr>
              <w:jc w:val="both"/>
              <w:rPr>
                <w:rFonts w:cstheme="minorHAnsi"/>
                <w:b/>
              </w:rPr>
            </w:pPr>
            <w:r>
              <w:rPr>
                <w:rFonts w:cstheme="minorHAnsi"/>
                <w:b/>
              </w:rPr>
              <w:t>2</w:t>
            </w:r>
          </w:p>
        </w:tc>
        <w:tc>
          <w:tcPr>
            <w:tcW w:w="1552" w:type="dxa"/>
          </w:tcPr>
          <w:p w14:paraId="4CF45246" w14:textId="77777777" w:rsidR="009A6B7D" w:rsidRPr="00834FA4" w:rsidRDefault="009A6B7D" w:rsidP="00C37316">
            <w:pPr>
              <w:jc w:val="both"/>
              <w:rPr>
                <w:rFonts w:cstheme="minorHAnsi"/>
              </w:rPr>
            </w:pPr>
            <w:r w:rsidRPr="00834FA4">
              <w:rPr>
                <w:rFonts w:cstheme="minorHAnsi"/>
                <w:b/>
                <w:bCs/>
              </w:rPr>
              <w:t>Section 4: Conditions of Listing</w:t>
            </w:r>
          </w:p>
        </w:tc>
        <w:tc>
          <w:tcPr>
            <w:tcW w:w="6039" w:type="dxa"/>
          </w:tcPr>
          <w:p w14:paraId="5405246A" w14:textId="77777777" w:rsidR="009A6B7D" w:rsidRPr="00834FA4" w:rsidRDefault="009A6B7D" w:rsidP="00C37316">
            <w:pPr>
              <w:jc w:val="both"/>
              <w:rPr>
                <w:rFonts w:cstheme="minorHAnsi"/>
                <w:b/>
                <w:bCs/>
              </w:rPr>
            </w:pPr>
            <w:r w:rsidRPr="00834FA4">
              <w:rPr>
                <w:rFonts w:cstheme="minorHAnsi"/>
                <w:b/>
                <w:bCs/>
              </w:rPr>
              <w:t>Experience and Expertise of the Board of Directors</w:t>
            </w:r>
          </w:p>
          <w:p w14:paraId="6452E04E" w14:textId="77777777" w:rsidR="009A6B7D" w:rsidRPr="00834FA4" w:rsidRDefault="009A6B7D" w:rsidP="00C37316">
            <w:pPr>
              <w:jc w:val="both"/>
              <w:rPr>
                <w:rFonts w:cstheme="minorHAnsi"/>
                <w:b/>
                <w:bCs/>
              </w:rPr>
            </w:pPr>
            <w:r w:rsidRPr="00834FA4">
              <w:rPr>
                <w:rFonts w:cstheme="minorHAnsi"/>
                <w:b/>
              </w:rPr>
              <w:t>New expanded paragraph 4.3</w:t>
            </w:r>
            <w:r>
              <w:rPr>
                <w:rFonts w:cstheme="minorHAnsi"/>
                <w:b/>
              </w:rPr>
              <w:t>4</w:t>
            </w:r>
            <w:r w:rsidRPr="00834FA4">
              <w:rPr>
                <w:rFonts w:cstheme="minorHAnsi"/>
                <w:b/>
              </w:rPr>
              <w:t>(f)</w:t>
            </w:r>
          </w:p>
          <w:p w14:paraId="5A73FC75" w14:textId="77777777" w:rsidR="009A6B7D" w:rsidRPr="00834FA4" w:rsidRDefault="009A6B7D" w:rsidP="00C37316">
            <w:pPr>
              <w:jc w:val="both"/>
              <w:rPr>
                <w:rFonts w:cstheme="minorHAnsi"/>
                <w:b/>
                <w:bCs/>
              </w:rPr>
            </w:pPr>
          </w:p>
          <w:p w14:paraId="2EA8F277"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xml:space="preserve">A SPAC is generally established and initially financed by experienced founding shareholders, which then often have board representation on the SPAC. Investors invest in SPACs, mostly in reliance on the (i) expertise and proven track-record of the founding shareholders/directors of the SPAC and (ii) their standing in the market. </w:t>
            </w:r>
          </w:p>
          <w:p w14:paraId="226A9088"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6D3767F4"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t xml:space="preserve">The attractiveness of a SPAC is therefore primarily based on the expertise and experience of the </w:t>
            </w:r>
            <w:r w:rsidRPr="00834FA4">
              <w:rPr>
                <w:rFonts w:asciiTheme="minorHAnsi" w:hAnsiTheme="minorHAnsi" w:cstheme="minorHAnsi"/>
                <w:sz w:val="22"/>
                <w:szCs w:val="22"/>
              </w:rPr>
              <w:t xml:space="preserve">directors of the SPAC, and for that reason more focus and disclosures are required </w:t>
            </w:r>
            <w:proofErr w:type="gramStart"/>
            <w:r w:rsidRPr="00834FA4">
              <w:rPr>
                <w:rFonts w:asciiTheme="minorHAnsi" w:hAnsiTheme="minorHAnsi" w:cstheme="minorHAnsi"/>
                <w:sz w:val="22"/>
                <w:szCs w:val="22"/>
              </w:rPr>
              <w:t>in order for</w:t>
            </w:r>
            <w:proofErr w:type="gramEnd"/>
            <w:r w:rsidRPr="00834FA4">
              <w:rPr>
                <w:rFonts w:asciiTheme="minorHAnsi" w:hAnsiTheme="minorHAnsi" w:cstheme="minorHAnsi"/>
                <w:sz w:val="22"/>
                <w:szCs w:val="22"/>
              </w:rPr>
              <w:t xml:space="preserve"> the JSE and potential investors to make an effective assessment on the </w:t>
            </w:r>
            <w:r w:rsidRPr="00834FA4">
              <w:rPr>
                <w:rFonts w:asciiTheme="minorHAnsi" w:hAnsiTheme="minorHAnsi" w:cstheme="minorHAnsi"/>
                <w:color w:val="000000"/>
                <w:sz w:val="22"/>
                <w:szCs w:val="22"/>
                <w:shd w:val="clear" w:color="auto" w:fill="FFFFFF"/>
              </w:rPr>
              <w:t xml:space="preserve">expertise and experience of the </w:t>
            </w:r>
            <w:r w:rsidRPr="00834FA4">
              <w:rPr>
                <w:rFonts w:asciiTheme="minorHAnsi" w:hAnsiTheme="minorHAnsi" w:cstheme="minorHAnsi"/>
                <w:sz w:val="22"/>
                <w:szCs w:val="22"/>
              </w:rPr>
              <w:t xml:space="preserve">directors of the SPAC. </w:t>
            </w:r>
            <w:r w:rsidRPr="00834FA4">
              <w:rPr>
                <w:rFonts w:asciiTheme="minorHAnsi" w:hAnsiTheme="minorHAnsi" w:cstheme="minorHAnsi"/>
                <w:color w:val="000000"/>
                <w:sz w:val="22"/>
                <w:szCs w:val="22"/>
                <w:shd w:val="clear" w:color="auto" w:fill="FFFFFF"/>
              </w:rPr>
              <w:t xml:space="preserve"> </w:t>
            </w:r>
          </w:p>
          <w:p w14:paraId="019BDE7A"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53B291E9"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color w:val="000000"/>
                <w:sz w:val="22"/>
                <w:szCs w:val="22"/>
                <w:shd w:val="clear" w:color="auto" w:fill="FFFFFF"/>
              </w:rPr>
              <w:lastRenderedPageBreak/>
              <w:t xml:space="preserve">The JSE intends to amend the Requirements to afford more detail on the expertise and experience of the </w:t>
            </w:r>
            <w:r w:rsidRPr="00834FA4">
              <w:rPr>
                <w:rFonts w:asciiTheme="minorHAnsi" w:hAnsiTheme="minorHAnsi" w:cstheme="minorHAnsi"/>
                <w:sz w:val="22"/>
                <w:szCs w:val="22"/>
              </w:rPr>
              <w:t>directors of the SPAC.</w:t>
            </w:r>
          </w:p>
          <w:p w14:paraId="04947C34"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4F6D8CB0"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p>
        </w:tc>
        <w:tc>
          <w:tcPr>
            <w:tcW w:w="4732" w:type="dxa"/>
          </w:tcPr>
          <w:p w14:paraId="38BB25D0" w14:textId="77777777" w:rsidR="009A6B7D" w:rsidRPr="00834FA4" w:rsidRDefault="009A6B7D" w:rsidP="00C37316">
            <w:pPr>
              <w:jc w:val="both"/>
              <w:rPr>
                <w:rFonts w:cstheme="minorHAnsi"/>
              </w:rPr>
            </w:pPr>
            <w:r w:rsidRPr="00834FA4">
              <w:rPr>
                <w:rFonts w:cstheme="minorHAnsi"/>
              </w:rPr>
              <w:lastRenderedPageBreak/>
              <w:t xml:space="preserve">The </w:t>
            </w:r>
            <w:r w:rsidRPr="00834FA4">
              <w:rPr>
                <w:rFonts w:cstheme="minorHAnsi"/>
                <w:color w:val="000000"/>
                <w:shd w:val="clear" w:color="auto" w:fill="FFFFFF"/>
              </w:rPr>
              <w:t xml:space="preserve">expertise and experience of the </w:t>
            </w:r>
            <w:r w:rsidRPr="00834FA4">
              <w:rPr>
                <w:rFonts w:cstheme="minorHAnsi"/>
              </w:rPr>
              <w:t>directors of the SPAC are vital considerations contributing to the potential success of a SPAC.</w:t>
            </w:r>
          </w:p>
          <w:p w14:paraId="7EA66949" w14:textId="77777777" w:rsidR="009A6B7D" w:rsidRPr="00834FA4" w:rsidRDefault="009A6B7D" w:rsidP="00C37316">
            <w:pPr>
              <w:jc w:val="both"/>
              <w:rPr>
                <w:rFonts w:cstheme="minorHAnsi"/>
              </w:rPr>
            </w:pPr>
          </w:p>
          <w:p w14:paraId="512215B9" w14:textId="77777777" w:rsidR="009A6B7D" w:rsidRPr="00834FA4" w:rsidRDefault="009A6B7D" w:rsidP="00C37316">
            <w:pPr>
              <w:jc w:val="both"/>
              <w:rPr>
                <w:rFonts w:cstheme="minorHAnsi"/>
              </w:rPr>
            </w:pPr>
            <w:r w:rsidRPr="00834FA4">
              <w:rPr>
                <w:rFonts w:cstheme="minorHAnsi"/>
              </w:rPr>
              <w:t>The JSE and potential investors should be better enabled to consider the suitability of the directors of a S</w:t>
            </w:r>
            <w:r>
              <w:rPr>
                <w:rFonts w:cstheme="minorHAnsi"/>
              </w:rPr>
              <w:t>PA</w:t>
            </w:r>
            <w:r w:rsidRPr="00834FA4">
              <w:rPr>
                <w:rFonts w:cstheme="minorHAnsi"/>
              </w:rPr>
              <w:t xml:space="preserve">C for the protection of investors. </w:t>
            </w:r>
          </w:p>
          <w:p w14:paraId="23A82BF5" w14:textId="77777777" w:rsidR="009A6B7D" w:rsidRPr="00834FA4" w:rsidRDefault="009A6B7D" w:rsidP="00C37316">
            <w:pPr>
              <w:jc w:val="both"/>
              <w:rPr>
                <w:rFonts w:cstheme="minorHAnsi"/>
              </w:rPr>
            </w:pPr>
          </w:p>
        </w:tc>
      </w:tr>
      <w:tr w:rsidR="009A6B7D" w:rsidRPr="00834FA4" w14:paraId="7F04E3BC" w14:textId="77777777" w:rsidTr="00C37316">
        <w:tc>
          <w:tcPr>
            <w:tcW w:w="853" w:type="dxa"/>
          </w:tcPr>
          <w:p w14:paraId="0E919A1C" w14:textId="77777777" w:rsidR="009A6B7D" w:rsidRPr="00834FA4" w:rsidRDefault="009A6B7D" w:rsidP="00C37316">
            <w:pPr>
              <w:jc w:val="both"/>
              <w:rPr>
                <w:rFonts w:cstheme="minorHAnsi"/>
                <w:b/>
              </w:rPr>
            </w:pPr>
          </w:p>
        </w:tc>
        <w:tc>
          <w:tcPr>
            <w:tcW w:w="1552" w:type="dxa"/>
          </w:tcPr>
          <w:p w14:paraId="02D1C9F1" w14:textId="77777777" w:rsidR="009A6B7D" w:rsidRPr="00834FA4" w:rsidRDefault="009A6B7D" w:rsidP="00C37316">
            <w:pPr>
              <w:jc w:val="both"/>
              <w:rPr>
                <w:rFonts w:cstheme="minorHAnsi"/>
              </w:rPr>
            </w:pPr>
          </w:p>
        </w:tc>
        <w:tc>
          <w:tcPr>
            <w:tcW w:w="6039" w:type="dxa"/>
          </w:tcPr>
          <w:p w14:paraId="453CC4A5" w14:textId="77777777" w:rsidR="009A6B7D" w:rsidRPr="00834FA4" w:rsidRDefault="009A6B7D" w:rsidP="00C37316">
            <w:pPr>
              <w:jc w:val="both"/>
              <w:rPr>
                <w:rFonts w:cstheme="minorHAnsi"/>
                <w:b/>
                <w:bCs/>
              </w:rPr>
            </w:pPr>
          </w:p>
        </w:tc>
        <w:tc>
          <w:tcPr>
            <w:tcW w:w="4732" w:type="dxa"/>
          </w:tcPr>
          <w:p w14:paraId="4750BA38" w14:textId="77777777" w:rsidR="009A6B7D" w:rsidRPr="00834FA4" w:rsidRDefault="009A6B7D" w:rsidP="00C37316">
            <w:pPr>
              <w:jc w:val="both"/>
              <w:rPr>
                <w:rFonts w:cstheme="minorHAnsi"/>
              </w:rPr>
            </w:pPr>
          </w:p>
        </w:tc>
      </w:tr>
      <w:tr w:rsidR="009A6B7D" w:rsidRPr="00834FA4" w14:paraId="545CEA1F" w14:textId="77777777" w:rsidTr="00C37316">
        <w:tc>
          <w:tcPr>
            <w:tcW w:w="853" w:type="dxa"/>
          </w:tcPr>
          <w:p w14:paraId="79A1AAFD" w14:textId="77777777" w:rsidR="009A6B7D" w:rsidRPr="00834FA4" w:rsidRDefault="009A6B7D" w:rsidP="00C37316">
            <w:pPr>
              <w:jc w:val="both"/>
              <w:rPr>
                <w:rFonts w:cstheme="minorHAnsi"/>
                <w:b/>
              </w:rPr>
            </w:pPr>
            <w:r>
              <w:rPr>
                <w:rFonts w:cstheme="minorHAnsi"/>
                <w:b/>
              </w:rPr>
              <w:t>3</w:t>
            </w:r>
          </w:p>
        </w:tc>
        <w:tc>
          <w:tcPr>
            <w:tcW w:w="1552" w:type="dxa"/>
          </w:tcPr>
          <w:p w14:paraId="4A29AA50" w14:textId="77777777" w:rsidR="009A6B7D" w:rsidRPr="00834FA4" w:rsidRDefault="009A6B7D" w:rsidP="00C37316">
            <w:pPr>
              <w:jc w:val="both"/>
              <w:rPr>
                <w:rFonts w:cstheme="minorHAnsi"/>
              </w:rPr>
            </w:pPr>
            <w:r w:rsidRPr="00834FA4">
              <w:rPr>
                <w:rFonts w:cstheme="minorHAnsi"/>
                <w:b/>
                <w:bCs/>
              </w:rPr>
              <w:t>Section 4: Conditions of Listing</w:t>
            </w:r>
          </w:p>
        </w:tc>
        <w:tc>
          <w:tcPr>
            <w:tcW w:w="6039" w:type="dxa"/>
          </w:tcPr>
          <w:p w14:paraId="3B77A963" w14:textId="77777777" w:rsidR="009A6B7D" w:rsidRDefault="009A6B7D" w:rsidP="00C37316">
            <w:pPr>
              <w:jc w:val="both"/>
              <w:rPr>
                <w:rFonts w:cstheme="minorHAnsi"/>
                <w:b/>
                <w:bCs/>
              </w:rPr>
            </w:pPr>
            <w:r>
              <w:rPr>
                <w:rFonts w:cstheme="minorHAnsi"/>
                <w:b/>
                <w:bCs/>
              </w:rPr>
              <w:t xml:space="preserve">Equity Participation of the Board of Directors (“Board Equity Participation”)  </w:t>
            </w:r>
          </w:p>
          <w:p w14:paraId="78AA0B23" w14:textId="77777777" w:rsidR="009A6B7D" w:rsidRDefault="009A6B7D" w:rsidP="00C37316">
            <w:pPr>
              <w:jc w:val="both"/>
              <w:rPr>
                <w:rFonts w:cstheme="minorHAnsi"/>
                <w:b/>
              </w:rPr>
            </w:pPr>
            <w:r>
              <w:rPr>
                <w:rFonts w:cstheme="minorHAnsi"/>
                <w:b/>
              </w:rPr>
              <w:t xml:space="preserve">New expanded paragraph </w:t>
            </w:r>
            <w:r w:rsidRPr="00F12C3F">
              <w:rPr>
                <w:rFonts w:cstheme="minorHAnsi"/>
                <w:b/>
              </w:rPr>
              <w:t>4.3</w:t>
            </w:r>
            <w:r>
              <w:rPr>
                <w:rFonts w:cstheme="minorHAnsi"/>
                <w:b/>
              </w:rPr>
              <w:t>4(e)</w:t>
            </w:r>
          </w:p>
          <w:p w14:paraId="2E7A2531" w14:textId="77777777" w:rsidR="009A6B7D" w:rsidRDefault="009A6B7D" w:rsidP="00C37316">
            <w:pPr>
              <w:jc w:val="both"/>
              <w:rPr>
                <w:rFonts w:cstheme="minorHAnsi"/>
                <w:b/>
                <w:bCs/>
              </w:rPr>
            </w:pPr>
          </w:p>
          <w:p w14:paraId="1EF19CCC" w14:textId="77777777" w:rsidR="009A6B7D" w:rsidRDefault="009A6B7D" w:rsidP="00C37316">
            <w:pPr>
              <w:jc w:val="both"/>
            </w:pPr>
            <w:r>
              <w:t xml:space="preserve">Currently, </w:t>
            </w:r>
            <w:r w:rsidRPr="00A265F6">
              <w:t>the board of directors must have subscribed for shares or units in the applicant representing at least a 5% interest, on a collective basis, in the applicant on the date of listing.</w:t>
            </w:r>
            <w:r>
              <w:t xml:space="preserve"> The current Requirements are not prescriptive that the board of directors must subscribe at the subscription price of the offer.</w:t>
            </w:r>
          </w:p>
          <w:p w14:paraId="36190957" w14:textId="77777777" w:rsidR="009A6B7D" w:rsidRDefault="009A6B7D" w:rsidP="00C37316">
            <w:pPr>
              <w:jc w:val="both"/>
            </w:pPr>
          </w:p>
          <w:p w14:paraId="7988102A" w14:textId="77777777" w:rsidR="009A6B7D" w:rsidRDefault="009A6B7D" w:rsidP="00C37316">
            <w:pPr>
              <w:jc w:val="both"/>
              <w:rPr>
                <w:rFonts w:cstheme="minorHAnsi"/>
                <w:b/>
                <w:bCs/>
              </w:rPr>
            </w:pPr>
            <w:r w:rsidRPr="00834FA4">
              <w:rPr>
                <w:rFonts w:cstheme="minorHAnsi"/>
                <w:color w:val="000000"/>
                <w:shd w:val="clear" w:color="auto" w:fill="FFFFFF"/>
              </w:rPr>
              <w:t xml:space="preserve">The JSE intends to amend the Requirements to </w:t>
            </w:r>
            <w:r>
              <w:rPr>
                <w:rFonts w:cstheme="minorHAnsi"/>
                <w:color w:val="000000"/>
                <w:shd w:val="clear" w:color="auto" w:fill="FFFFFF"/>
              </w:rPr>
              <w:t xml:space="preserve">make it clear that the subscription by the board of directors as part of the Board Equity Participation may take place at nominal value, provided a safeguard is included for the benefit of investors that such nominal subscription may not exceed 20% of the applicant’s issued share capital on listing. </w:t>
            </w:r>
          </w:p>
          <w:p w14:paraId="73E118FC" w14:textId="77777777" w:rsidR="009A6B7D" w:rsidRPr="00834FA4" w:rsidRDefault="009A6B7D" w:rsidP="00C37316">
            <w:pPr>
              <w:jc w:val="both"/>
              <w:rPr>
                <w:rFonts w:cstheme="minorHAnsi"/>
                <w:b/>
                <w:bCs/>
              </w:rPr>
            </w:pPr>
          </w:p>
        </w:tc>
        <w:tc>
          <w:tcPr>
            <w:tcW w:w="4732" w:type="dxa"/>
          </w:tcPr>
          <w:p w14:paraId="1D8873F6" w14:textId="77777777" w:rsidR="009A6B7D" w:rsidRDefault="009A6B7D" w:rsidP="00C37316">
            <w:pPr>
              <w:jc w:val="both"/>
            </w:pPr>
            <w:r>
              <w:t xml:space="preserve">There are different approaches to the Board Equity Participation in the various SPAC jurisdictions, where some allow subscription (i) at nominal value and other (ii) at value on a sliding scale depending on market </w:t>
            </w:r>
            <w:proofErr w:type="spellStart"/>
            <w:r>
              <w:t>capitalisation</w:t>
            </w:r>
            <w:proofErr w:type="spellEnd"/>
            <w:r>
              <w:t xml:space="preserve"> on listing.</w:t>
            </w:r>
          </w:p>
          <w:p w14:paraId="16D553F3" w14:textId="77777777" w:rsidR="009A6B7D" w:rsidRDefault="009A6B7D" w:rsidP="00C37316">
            <w:pPr>
              <w:jc w:val="both"/>
            </w:pPr>
          </w:p>
          <w:p w14:paraId="110251DE" w14:textId="77777777" w:rsidR="009A6B7D" w:rsidRDefault="009A6B7D" w:rsidP="00C37316">
            <w:pPr>
              <w:jc w:val="both"/>
            </w:pPr>
            <w:r>
              <w:t xml:space="preserve">Board Equity Participation serves as a manner to </w:t>
            </w:r>
            <w:proofErr w:type="spellStart"/>
            <w:r>
              <w:t>incentivise</w:t>
            </w:r>
            <w:proofErr w:type="spellEnd"/>
            <w:r>
              <w:t xml:space="preserve"> the board to pursue the success and completion of the acquisition of a viable asset/s and to have “</w:t>
            </w:r>
            <w:r w:rsidRPr="00066FF2">
              <w:rPr>
                <w:i/>
                <w:iCs/>
              </w:rPr>
              <w:t>skin in the game</w:t>
            </w:r>
            <w:r>
              <w:t>”.</w:t>
            </w:r>
          </w:p>
          <w:p w14:paraId="210B7B28" w14:textId="77777777" w:rsidR="009A6B7D" w:rsidRDefault="009A6B7D" w:rsidP="00C37316">
            <w:pPr>
              <w:jc w:val="both"/>
              <w:rPr>
                <w:rFonts w:cstheme="minorHAnsi"/>
              </w:rPr>
            </w:pPr>
          </w:p>
          <w:p w14:paraId="50806846" w14:textId="77777777" w:rsidR="009A6B7D" w:rsidRDefault="009A6B7D" w:rsidP="00C37316">
            <w:pPr>
              <w:jc w:val="both"/>
            </w:pPr>
            <w:r>
              <w:t>It has also been argued that there should not be undue hardships placed on quality boards in complying with the Board Equity Participation when seeking the listing of a SPAC, however any subscriptions at nominal value should be limited to afford a necessary safeguard for investors.</w:t>
            </w:r>
          </w:p>
          <w:p w14:paraId="692D2EDA" w14:textId="77777777" w:rsidR="009A6B7D" w:rsidRDefault="009A6B7D" w:rsidP="00C37316">
            <w:pPr>
              <w:jc w:val="both"/>
              <w:rPr>
                <w:rFonts w:cstheme="minorHAnsi"/>
              </w:rPr>
            </w:pPr>
          </w:p>
          <w:p w14:paraId="056B50D8" w14:textId="77777777" w:rsidR="009A6B7D" w:rsidRDefault="009A6B7D" w:rsidP="00C37316">
            <w:pPr>
              <w:jc w:val="both"/>
              <w:rPr>
                <w:rFonts w:cstheme="minorHAnsi"/>
              </w:rPr>
            </w:pPr>
            <w:r>
              <w:rPr>
                <w:rFonts w:cstheme="minorHAnsi"/>
              </w:rPr>
              <w:t xml:space="preserve">The New York Stock Exchange, the Nasdaq Stock Market and Singapore Stock Exchange afford the subscription of </w:t>
            </w:r>
            <w:r>
              <w:t xml:space="preserve">Board Equity Participation at nominal value. However, the Singapore Stock Exchange imposes a limit of 20% on such nominal subscriptions, which is a sensible safeguard. </w:t>
            </w:r>
          </w:p>
          <w:p w14:paraId="01091450" w14:textId="77777777" w:rsidR="009A6B7D" w:rsidRPr="00834FA4" w:rsidRDefault="009A6B7D" w:rsidP="00C37316">
            <w:pPr>
              <w:jc w:val="both"/>
              <w:rPr>
                <w:rFonts w:cstheme="minorHAnsi"/>
              </w:rPr>
            </w:pPr>
          </w:p>
        </w:tc>
      </w:tr>
      <w:tr w:rsidR="009A6B7D" w:rsidRPr="00834FA4" w14:paraId="23E70B89" w14:textId="77777777" w:rsidTr="00C37316">
        <w:tc>
          <w:tcPr>
            <w:tcW w:w="853" w:type="dxa"/>
          </w:tcPr>
          <w:p w14:paraId="0B8E95C9" w14:textId="77777777" w:rsidR="009A6B7D" w:rsidRPr="00834FA4" w:rsidRDefault="009A6B7D" w:rsidP="00C37316">
            <w:pPr>
              <w:jc w:val="both"/>
              <w:rPr>
                <w:rFonts w:cstheme="minorHAnsi"/>
                <w:b/>
              </w:rPr>
            </w:pPr>
          </w:p>
        </w:tc>
        <w:tc>
          <w:tcPr>
            <w:tcW w:w="1552" w:type="dxa"/>
          </w:tcPr>
          <w:p w14:paraId="7814FBE2" w14:textId="77777777" w:rsidR="009A6B7D" w:rsidRPr="00834FA4" w:rsidRDefault="009A6B7D" w:rsidP="00C37316">
            <w:pPr>
              <w:jc w:val="both"/>
              <w:rPr>
                <w:rFonts w:cstheme="minorHAnsi"/>
              </w:rPr>
            </w:pPr>
          </w:p>
        </w:tc>
        <w:tc>
          <w:tcPr>
            <w:tcW w:w="6039" w:type="dxa"/>
          </w:tcPr>
          <w:p w14:paraId="58101253" w14:textId="77777777" w:rsidR="009A6B7D" w:rsidRPr="00834FA4" w:rsidRDefault="009A6B7D" w:rsidP="00C37316">
            <w:pPr>
              <w:jc w:val="both"/>
              <w:rPr>
                <w:rFonts w:cstheme="minorHAnsi"/>
                <w:b/>
                <w:bCs/>
              </w:rPr>
            </w:pPr>
          </w:p>
        </w:tc>
        <w:tc>
          <w:tcPr>
            <w:tcW w:w="4732" w:type="dxa"/>
          </w:tcPr>
          <w:p w14:paraId="7B9BD27D" w14:textId="77777777" w:rsidR="009A6B7D" w:rsidRPr="00834FA4" w:rsidRDefault="009A6B7D" w:rsidP="00C37316">
            <w:pPr>
              <w:jc w:val="both"/>
              <w:rPr>
                <w:rFonts w:cstheme="minorHAnsi"/>
              </w:rPr>
            </w:pPr>
          </w:p>
        </w:tc>
      </w:tr>
      <w:tr w:rsidR="009A6B7D" w:rsidRPr="00834FA4" w14:paraId="0852A9FB" w14:textId="77777777" w:rsidTr="00C37316">
        <w:tc>
          <w:tcPr>
            <w:tcW w:w="853" w:type="dxa"/>
          </w:tcPr>
          <w:p w14:paraId="71B23FA3" w14:textId="77777777" w:rsidR="009A6B7D" w:rsidRPr="00834FA4" w:rsidRDefault="009A6B7D" w:rsidP="00C37316">
            <w:pPr>
              <w:jc w:val="both"/>
              <w:rPr>
                <w:rFonts w:cstheme="minorHAnsi"/>
                <w:b/>
              </w:rPr>
            </w:pPr>
            <w:r>
              <w:rPr>
                <w:rFonts w:cstheme="minorHAnsi"/>
                <w:b/>
              </w:rPr>
              <w:lastRenderedPageBreak/>
              <w:t>4</w:t>
            </w:r>
          </w:p>
        </w:tc>
        <w:tc>
          <w:tcPr>
            <w:tcW w:w="1552" w:type="dxa"/>
          </w:tcPr>
          <w:p w14:paraId="5E404B3F" w14:textId="77777777" w:rsidR="009A6B7D" w:rsidRPr="00834FA4" w:rsidRDefault="009A6B7D" w:rsidP="00C37316">
            <w:pPr>
              <w:jc w:val="both"/>
              <w:rPr>
                <w:rFonts w:cstheme="minorHAnsi"/>
              </w:rPr>
            </w:pPr>
            <w:r w:rsidRPr="00834FA4">
              <w:rPr>
                <w:rFonts w:cstheme="minorHAnsi"/>
                <w:b/>
                <w:bCs/>
              </w:rPr>
              <w:t xml:space="preserve">Section 4: Conditions of Listing </w:t>
            </w:r>
          </w:p>
        </w:tc>
        <w:tc>
          <w:tcPr>
            <w:tcW w:w="6039" w:type="dxa"/>
          </w:tcPr>
          <w:p w14:paraId="6393939D"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r w:rsidRPr="00834FA4">
              <w:rPr>
                <w:rFonts w:asciiTheme="minorHAnsi" w:hAnsiTheme="minorHAnsi" w:cstheme="minorHAnsi"/>
                <w:b/>
                <w:sz w:val="22"/>
                <w:szCs w:val="22"/>
              </w:rPr>
              <w:t>Conflicts of Interests</w:t>
            </w:r>
          </w:p>
          <w:p w14:paraId="2F92E52C"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b/>
                <w:sz w:val="22"/>
                <w:szCs w:val="22"/>
              </w:rPr>
              <w:t>New paragraph 4.34(i)</w:t>
            </w:r>
          </w:p>
          <w:p w14:paraId="316E9B7B"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7B4F96FF"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xml:space="preserve">In general terms, a SPAC is a company with no operations that offers securities for cash and places substantially all the offering proceeds into escrow for the acquisition of viable assets. Following listing, the SPAC will identify acquisition targets and attempt to complete the acquisition of one or more viable assets after which the SPAC will continue the operations of the acquired viable assets as a new listed company. </w:t>
            </w:r>
          </w:p>
          <w:p w14:paraId="3760A242"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13D8DEE" w14:textId="77777777" w:rsidR="009A6B7D" w:rsidRPr="00834FA4" w:rsidRDefault="009A6B7D" w:rsidP="00C37316">
            <w:pPr>
              <w:pStyle w:val="NormalWeb"/>
              <w:shd w:val="clear" w:color="auto" w:fill="FFFFFF"/>
              <w:spacing w:before="0" w:beforeAutospacing="0" w:after="15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The economic interests of the directors and their associates (“</w:t>
            </w:r>
            <w:r w:rsidRPr="00834FA4">
              <w:rPr>
                <w:rFonts w:asciiTheme="minorHAnsi" w:hAnsiTheme="minorHAnsi" w:cstheme="minorHAnsi"/>
                <w:b/>
                <w:bCs/>
                <w:sz w:val="22"/>
                <w:szCs w:val="22"/>
              </w:rPr>
              <w:t>Management’s Interest</w:t>
            </w:r>
            <w:r w:rsidRPr="00834FA4">
              <w:rPr>
                <w:rFonts w:asciiTheme="minorHAnsi" w:hAnsiTheme="minorHAnsi" w:cstheme="minorHAnsi"/>
                <w:sz w:val="22"/>
                <w:szCs w:val="22"/>
              </w:rPr>
              <w:t xml:space="preserve">”) may often differ from the economic interests of shareholders which may lead to conflicts of interests as they evaluate and decide whether to recommend the acquisition of viable assets to shareholders. Clear disclosure regarding these potential conflicts of interest and the nature of the Management’s Interest in the SPAC is particularly important because these parties are primarily responsible for negotiating the acquisition of viable assets on behalf of the SPAC.  </w:t>
            </w:r>
          </w:p>
          <w:p w14:paraId="017A8FAC"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A SPAC preparing for listing on the JSE should carefully consider its disclosure of its Management’s Interest as they relate to differing economic interests measured against the interests the issuer.</w:t>
            </w:r>
          </w:p>
          <w:p w14:paraId="55E67367"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w:t>
            </w:r>
          </w:p>
          <w:p w14:paraId="04E61FEC" w14:textId="77777777" w:rsidR="009A6B7D" w:rsidRPr="00834FA4" w:rsidRDefault="009A6B7D" w:rsidP="00C37316">
            <w:pPr>
              <w:jc w:val="both"/>
              <w:rPr>
                <w:rFonts w:cstheme="minorHAnsi"/>
                <w:color w:val="000000"/>
                <w:shd w:val="clear" w:color="auto" w:fill="FFFFFF"/>
              </w:rPr>
            </w:pPr>
            <w:r w:rsidRPr="00834FA4">
              <w:rPr>
                <w:rFonts w:cstheme="minorHAnsi"/>
              </w:rPr>
              <w:t>In the SPAC environment, it may be commo</w:t>
            </w:r>
            <w:r>
              <w:rPr>
                <w:rFonts w:cstheme="minorHAnsi"/>
              </w:rPr>
              <w:t>n</w:t>
            </w:r>
            <w:r w:rsidRPr="00834FA4">
              <w:rPr>
                <w:rFonts w:cstheme="minorHAnsi"/>
              </w:rPr>
              <w:t xml:space="preserve"> for the directors </w:t>
            </w:r>
            <w:r w:rsidRPr="00834FA4">
              <w:rPr>
                <w:rFonts w:cstheme="minorHAnsi"/>
                <w:color w:val="000000"/>
                <w:shd w:val="clear" w:color="auto" w:fill="FFFFFF"/>
              </w:rPr>
              <w:t>to –</w:t>
            </w:r>
          </w:p>
          <w:p w14:paraId="0B635616" w14:textId="77777777" w:rsidR="009A6B7D" w:rsidRPr="00834FA4" w:rsidRDefault="009A6B7D" w:rsidP="00C37316">
            <w:pPr>
              <w:jc w:val="both"/>
              <w:rPr>
                <w:rFonts w:cstheme="minorHAnsi"/>
                <w:color w:val="000000"/>
                <w:shd w:val="clear" w:color="auto" w:fill="FFFFFF"/>
              </w:rPr>
            </w:pPr>
          </w:p>
          <w:p w14:paraId="7CEA4A0D" w14:textId="77777777" w:rsidR="009A6B7D" w:rsidRPr="00834FA4" w:rsidRDefault="009A6B7D" w:rsidP="009A6B7D">
            <w:pPr>
              <w:pStyle w:val="ListParagraph"/>
              <w:numPr>
                <w:ilvl w:val="0"/>
                <w:numId w:val="10"/>
              </w:numPr>
              <w:spacing w:line="240" w:lineRule="auto"/>
              <w:jc w:val="both"/>
              <w:rPr>
                <w:rFonts w:asciiTheme="minorHAnsi" w:hAnsiTheme="minorHAnsi" w:cstheme="minorHAnsi"/>
                <w:sz w:val="22"/>
                <w:szCs w:val="22"/>
              </w:rPr>
            </w:pPr>
            <w:r w:rsidRPr="00834FA4">
              <w:rPr>
                <w:rFonts w:asciiTheme="minorHAnsi" w:hAnsiTheme="minorHAnsi" w:cstheme="minorHAnsi"/>
                <w:sz w:val="22"/>
                <w:szCs w:val="22"/>
              </w:rPr>
              <w:t xml:space="preserve">receive incentives (whether cash and/or securities) on the acquisition of Viable </w:t>
            </w:r>
            <w:proofErr w:type="gramStart"/>
            <w:r w:rsidRPr="00834FA4">
              <w:rPr>
                <w:rFonts w:asciiTheme="minorHAnsi" w:hAnsiTheme="minorHAnsi" w:cstheme="minorHAnsi"/>
                <w:sz w:val="22"/>
                <w:szCs w:val="22"/>
              </w:rPr>
              <w:t>Assets;</w:t>
            </w:r>
            <w:proofErr w:type="gramEnd"/>
          </w:p>
          <w:p w14:paraId="4327E08A" w14:textId="77777777" w:rsidR="009A6B7D" w:rsidRPr="00834FA4" w:rsidRDefault="009A6B7D" w:rsidP="009A6B7D">
            <w:pPr>
              <w:pStyle w:val="ListParagraph"/>
              <w:numPr>
                <w:ilvl w:val="0"/>
                <w:numId w:val="10"/>
              </w:numPr>
              <w:spacing w:line="240" w:lineRule="auto"/>
              <w:jc w:val="both"/>
              <w:rPr>
                <w:rFonts w:asciiTheme="minorHAnsi" w:hAnsiTheme="minorHAnsi" w:cstheme="minorHAnsi"/>
                <w:sz w:val="22"/>
                <w:szCs w:val="22"/>
              </w:rPr>
            </w:pPr>
            <w:r w:rsidRPr="00834FA4">
              <w:rPr>
                <w:rFonts w:asciiTheme="minorHAnsi" w:hAnsiTheme="minorHAnsi" w:cstheme="minorHAnsi"/>
                <w:color w:val="000000"/>
                <w:sz w:val="22"/>
                <w:szCs w:val="22"/>
                <w:shd w:val="clear" w:color="auto" w:fill="FFFFFF"/>
              </w:rPr>
              <w:t>as related parties, enter into investment advisory agreements or similar with the SPAC; or</w:t>
            </w:r>
          </w:p>
          <w:p w14:paraId="6BDDE5DF" w14:textId="77777777" w:rsidR="009A6B7D" w:rsidRPr="00834FA4" w:rsidRDefault="009A6B7D" w:rsidP="009A6B7D">
            <w:pPr>
              <w:pStyle w:val="ListParagraph"/>
              <w:numPr>
                <w:ilvl w:val="0"/>
                <w:numId w:val="10"/>
              </w:numPr>
              <w:spacing w:line="240" w:lineRule="auto"/>
              <w:jc w:val="both"/>
              <w:rPr>
                <w:rFonts w:asciiTheme="minorHAnsi" w:hAnsiTheme="minorHAnsi" w:cstheme="minorHAnsi"/>
                <w:sz w:val="22"/>
                <w:szCs w:val="22"/>
              </w:rPr>
            </w:pPr>
            <w:r w:rsidRPr="00834FA4">
              <w:rPr>
                <w:rFonts w:asciiTheme="minorHAnsi" w:hAnsiTheme="minorHAnsi" w:cstheme="minorHAnsi"/>
                <w:color w:val="000000"/>
                <w:sz w:val="22"/>
                <w:szCs w:val="22"/>
                <w:shd w:val="clear" w:color="auto" w:fill="FFFFFF"/>
              </w:rPr>
              <w:lastRenderedPageBreak/>
              <w:t xml:space="preserve">not work exclusively for the SPAC to identify potential viable assets and may have fiduciary or contractual obligations to other companies and/or entities.  </w:t>
            </w:r>
          </w:p>
          <w:p w14:paraId="3AC890C0" w14:textId="77777777" w:rsidR="009A6B7D" w:rsidRPr="00834FA4" w:rsidRDefault="009A6B7D" w:rsidP="00C37316">
            <w:pPr>
              <w:jc w:val="both"/>
              <w:rPr>
                <w:rFonts w:cstheme="minorHAnsi"/>
                <w:color w:val="000000"/>
                <w:shd w:val="clear" w:color="auto" w:fill="FFFFFF"/>
              </w:rPr>
            </w:pPr>
          </w:p>
          <w:p w14:paraId="3B65EF97" w14:textId="77777777" w:rsidR="009A6B7D" w:rsidRPr="00834FA4" w:rsidRDefault="009A6B7D" w:rsidP="00C37316">
            <w:pPr>
              <w:jc w:val="both"/>
              <w:rPr>
                <w:rFonts w:cstheme="minorHAnsi"/>
                <w:color w:val="000000"/>
                <w:shd w:val="clear" w:color="auto" w:fill="FFFFFF"/>
              </w:rPr>
            </w:pPr>
            <w:r w:rsidRPr="00834FA4">
              <w:rPr>
                <w:rFonts w:cstheme="minorHAnsi"/>
                <w:color w:val="000000"/>
                <w:shd w:val="clear" w:color="auto" w:fill="FFFFFF"/>
              </w:rPr>
              <w:t>The JSE intends to amend the Requirements to afford specific disclosure on conflicts of interests as it relates to any commercial interests (other than remuneration) of the board of directors and their associates on the one part and the interests of the issuer on the other.</w:t>
            </w:r>
          </w:p>
          <w:p w14:paraId="50A54587" w14:textId="77777777" w:rsidR="009A6B7D" w:rsidRPr="00834FA4" w:rsidRDefault="009A6B7D" w:rsidP="00C37316">
            <w:pPr>
              <w:jc w:val="both"/>
              <w:rPr>
                <w:rFonts w:cstheme="minorHAnsi"/>
                <w:b/>
                <w:bCs/>
              </w:rPr>
            </w:pPr>
          </w:p>
        </w:tc>
        <w:tc>
          <w:tcPr>
            <w:tcW w:w="4732" w:type="dxa"/>
          </w:tcPr>
          <w:p w14:paraId="6F69256E" w14:textId="77777777" w:rsidR="009A6B7D" w:rsidRPr="00834FA4" w:rsidRDefault="009A6B7D" w:rsidP="00C37316">
            <w:pPr>
              <w:jc w:val="both"/>
              <w:rPr>
                <w:rFonts w:cstheme="minorHAnsi"/>
              </w:rPr>
            </w:pPr>
            <w:r w:rsidRPr="00834FA4">
              <w:rPr>
                <w:rFonts w:cstheme="minorHAnsi"/>
              </w:rPr>
              <w:lastRenderedPageBreak/>
              <w:t xml:space="preserve">The disclosure and managements of conflicts is an important corporate governance tool. Conflicts disclosure is becoming more paramount in SPAC jurisdictions, including the USA, </w:t>
            </w:r>
            <w:proofErr w:type="gramStart"/>
            <w:r w:rsidRPr="00834FA4">
              <w:rPr>
                <w:rFonts w:cstheme="minorHAnsi"/>
              </w:rPr>
              <w:t>Belgium</w:t>
            </w:r>
            <w:proofErr w:type="gramEnd"/>
            <w:r w:rsidRPr="00834FA4">
              <w:rPr>
                <w:rFonts w:cstheme="minorHAnsi"/>
              </w:rPr>
              <w:t xml:space="preserve"> and Singapore. It will be in the interest of investors and shareholders to be aware and fully appraised of such conflicts of interest as well as the governance arrangements on how they are identified, avoided </w:t>
            </w:r>
            <w:r>
              <w:rPr>
                <w:rFonts w:cstheme="minorHAnsi"/>
              </w:rPr>
              <w:t>and/</w:t>
            </w:r>
            <w:r w:rsidRPr="00834FA4">
              <w:rPr>
                <w:rFonts w:cstheme="minorHAnsi"/>
              </w:rPr>
              <w:t>or managed.</w:t>
            </w:r>
          </w:p>
          <w:p w14:paraId="2FCDE18D" w14:textId="77777777" w:rsidR="009A6B7D" w:rsidRPr="00834FA4" w:rsidRDefault="009A6B7D" w:rsidP="00C37316">
            <w:pPr>
              <w:jc w:val="both"/>
              <w:rPr>
                <w:rFonts w:cstheme="minorHAnsi"/>
              </w:rPr>
            </w:pPr>
          </w:p>
        </w:tc>
      </w:tr>
      <w:tr w:rsidR="009A6B7D" w:rsidRPr="00834FA4" w14:paraId="50E2F968" w14:textId="77777777" w:rsidTr="00C37316">
        <w:tc>
          <w:tcPr>
            <w:tcW w:w="853" w:type="dxa"/>
          </w:tcPr>
          <w:p w14:paraId="664FA7CC" w14:textId="77777777" w:rsidR="009A6B7D" w:rsidRPr="00834FA4" w:rsidRDefault="009A6B7D" w:rsidP="00C37316">
            <w:pPr>
              <w:jc w:val="both"/>
              <w:rPr>
                <w:rFonts w:cstheme="minorHAnsi"/>
                <w:b/>
              </w:rPr>
            </w:pPr>
          </w:p>
        </w:tc>
        <w:tc>
          <w:tcPr>
            <w:tcW w:w="1552" w:type="dxa"/>
          </w:tcPr>
          <w:p w14:paraId="18E51DFF" w14:textId="77777777" w:rsidR="009A6B7D" w:rsidRPr="00834FA4" w:rsidRDefault="009A6B7D" w:rsidP="00C37316">
            <w:pPr>
              <w:jc w:val="both"/>
              <w:rPr>
                <w:rFonts w:cstheme="minorHAnsi"/>
                <w:b/>
              </w:rPr>
            </w:pPr>
          </w:p>
        </w:tc>
        <w:tc>
          <w:tcPr>
            <w:tcW w:w="6039" w:type="dxa"/>
          </w:tcPr>
          <w:p w14:paraId="28BC6DCB" w14:textId="77777777" w:rsidR="009A6B7D" w:rsidRPr="00834FA4" w:rsidRDefault="009A6B7D" w:rsidP="00C37316">
            <w:pPr>
              <w:jc w:val="both"/>
              <w:rPr>
                <w:rFonts w:cstheme="minorHAnsi"/>
                <w:b/>
                <w:i/>
                <w:color w:val="FF0000"/>
              </w:rPr>
            </w:pPr>
          </w:p>
        </w:tc>
        <w:tc>
          <w:tcPr>
            <w:tcW w:w="4732" w:type="dxa"/>
          </w:tcPr>
          <w:p w14:paraId="5FCCDA63" w14:textId="77777777" w:rsidR="009A6B7D" w:rsidRPr="00834FA4" w:rsidRDefault="009A6B7D" w:rsidP="00C37316">
            <w:pPr>
              <w:jc w:val="both"/>
              <w:rPr>
                <w:rFonts w:cstheme="minorHAnsi"/>
              </w:rPr>
            </w:pPr>
          </w:p>
        </w:tc>
      </w:tr>
      <w:tr w:rsidR="009A6B7D" w:rsidRPr="00834FA4" w14:paraId="16FBA803" w14:textId="77777777" w:rsidTr="00C37316">
        <w:tc>
          <w:tcPr>
            <w:tcW w:w="853" w:type="dxa"/>
          </w:tcPr>
          <w:p w14:paraId="2E86E4C6" w14:textId="77777777" w:rsidR="009A6B7D" w:rsidRPr="00834FA4" w:rsidRDefault="009A6B7D" w:rsidP="00C37316">
            <w:pPr>
              <w:jc w:val="both"/>
              <w:rPr>
                <w:rFonts w:cstheme="minorHAnsi"/>
                <w:b/>
              </w:rPr>
            </w:pPr>
            <w:r>
              <w:rPr>
                <w:rFonts w:cstheme="minorHAnsi"/>
                <w:b/>
              </w:rPr>
              <w:t>5</w:t>
            </w:r>
          </w:p>
        </w:tc>
        <w:tc>
          <w:tcPr>
            <w:tcW w:w="1552" w:type="dxa"/>
          </w:tcPr>
          <w:p w14:paraId="0803392E" w14:textId="77777777" w:rsidR="009A6B7D" w:rsidRPr="00834FA4" w:rsidRDefault="009A6B7D" w:rsidP="00C37316">
            <w:pPr>
              <w:jc w:val="both"/>
              <w:rPr>
                <w:rFonts w:cstheme="minorHAnsi"/>
                <w:b/>
                <w:bCs/>
              </w:rPr>
            </w:pPr>
            <w:r w:rsidRPr="00834FA4">
              <w:rPr>
                <w:rFonts w:cstheme="minorHAnsi"/>
                <w:b/>
                <w:bCs/>
              </w:rPr>
              <w:t>Section 4: Conditions of Listing</w:t>
            </w:r>
          </w:p>
        </w:tc>
        <w:tc>
          <w:tcPr>
            <w:tcW w:w="6039" w:type="dxa"/>
          </w:tcPr>
          <w:p w14:paraId="7EB5447E" w14:textId="77777777" w:rsidR="009A6B7D" w:rsidRDefault="009A6B7D" w:rsidP="00C37316">
            <w:pPr>
              <w:jc w:val="both"/>
              <w:rPr>
                <w:rFonts w:cstheme="minorHAnsi"/>
                <w:b/>
                <w:bCs/>
              </w:rPr>
            </w:pPr>
            <w:r w:rsidRPr="00834FA4">
              <w:rPr>
                <w:rFonts w:cstheme="minorHAnsi"/>
                <w:b/>
                <w:bCs/>
              </w:rPr>
              <w:t>Redemption Rights</w:t>
            </w:r>
          </w:p>
          <w:p w14:paraId="0B118B1D" w14:textId="77777777" w:rsidR="009A6B7D" w:rsidRPr="00834FA4" w:rsidRDefault="009A6B7D" w:rsidP="00C37316">
            <w:pPr>
              <w:jc w:val="both"/>
              <w:rPr>
                <w:rFonts w:cstheme="minorHAnsi"/>
                <w:b/>
                <w:bCs/>
              </w:rPr>
            </w:pPr>
            <w:r>
              <w:rPr>
                <w:rFonts w:cstheme="minorHAnsi"/>
                <w:b/>
                <w:bCs/>
              </w:rPr>
              <w:t>Definitions</w:t>
            </w:r>
          </w:p>
          <w:p w14:paraId="3B129C65" w14:textId="77777777" w:rsidR="009A6B7D" w:rsidRDefault="009A6B7D" w:rsidP="00C37316">
            <w:pPr>
              <w:jc w:val="both"/>
              <w:rPr>
                <w:rFonts w:cstheme="minorHAnsi"/>
                <w:b/>
              </w:rPr>
            </w:pPr>
            <w:r w:rsidRPr="00834FA4">
              <w:rPr>
                <w:rFonts w:cstheme="minorHAnsi"/>
                <w:b/>
              </w:rPr>
              <w:t>New paragraph 4.3</w:t>
            </w:r>
            <w:r>
              <w:rPr>
                <w:rFonts w:cstheme="minorHAnsi"/>
                <w:b/>
              </w:rPr>
              <w:t>4</w:t>
            </w:r>
            <w:r w:rsidRPr="00834FA4">
              <w:rPr>
                <w:rFonts w:cstheme="minorHAnsi"/>
                <w:b/>
              </w:rPr>
              <w:t>(j)</w:t>
            </w:r>
          </w:p>
          <w:p w14:paraId="5406A5C2" w14:textId="77777777" w:rsidR="009A6B7D" w:rsidRDefault="009A6B7D" w:rsidP="00C37316">
            <w:pPr>
              <w:jc w:val="both"/>
              <w:rPr>
                <w:rFonts w:cstheme="minorHAnsi"/>
                <w:b/>
              </w:rPr>
            </w:pPr>
            <w:r>
              <w:rPr>
                <w:rFonts w:cstheme="minorHAnsi"/>
                <w:b/>
              </w:rPr>
              <w:t>Paragraph 4.36</w:t>
            </w:r>
          </w:p>
          <w:p w14:paraId="1E11DFDE" w14:textId="77777777" w:rsidR="009A6B7D" w:rsidRPr="00834FA4" w:rsidRDefault="009A6B7D" w:rsidP="00C37316">
            <w:pPr>
              <w:jc w:val="both"/>
              <w:rPr>
                <w:rFonts w:cstheme="minorHAnsi"/>
                <w:b/>
              </w:rPr>
            </w:pPr>
            <w:r>
              <w:rPr>
                <w:rFonts w:cstheme="minorHAnsi"/>
                <w:b/>
              </w:rPr>
              <w:t>Paragraph 4.38</w:t>
            </w:r>
          </w:p>
          <w:p w14:paraId="2EC5F9B4" w14:textId="77777777" w:rsidR="009A6B7D" w:rsidRPr="00834FA4" w:rsidRDefault="009A6B7D" w:rsidP="00C37316">
            <w:pPr>
              <w:jc w:val="both"/>
              <w:rPr>
                <w:rFonts w:cstheme="minorHAnsi"/>
                <w:b/>
              </w:rPr>
            </w:pPr>
          </w:p>
          <w:p w14:paraId="7C092EC0"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xml:space="preserve">On the listing of a SPAC, the proceeds raised are held in escrow until the SPAC identifies the acquisition of a viable asset, within 36 months from listing (as currently being proposed). Because the SPAC itself has no business operations and the acquisition target is not known at the time of listing, some markets afford certain shareholders the opportunity to redeem their securities in the SPAC prior to the acquisition of viable assets for </w:t>
            </w:r>
            <w:r w:rsidRPr="00834FA4">
              <w:rPr>
                <w:rFonts w:asciiTheme="minorHAnsi" w:hAnsiTheme="minorHAnsi" w:cstheme="minorHAnsi"/>
                <w:i/>
                <w:iCs/>
                <w:sz w:val="22"/>
                <w:szCs w:val="22"/>
              </w:rPr>
              <w:t>a pro rata</w:t>
            </w:r>
            <w:r w:rsidRPr="00834FA4">
              <w:rPr>
                <w:rFonts w:asciiTheme="minorHAnsi" w:hAnsiTheme="minorHAnsi" w:cstheme="minorHAnsi"/>
                <w:sz w:val="22"/>
                <w:szCs w:val="22"/>
              </w:rPr>
              <w:t xml:space="preserve"> share of the funds held in escrow. These redemption rights help incentivise up take in SPACs through a predetermined exit mechanism/formula.</w:t>
            </w:r>
          </w:p>
          <w:p w14:paraId="07537D14"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shd w:val="clear" w:color="auto" w:fill="FFFFFF"/>
              </w:rPr>
            </w:pPr>
          </w:p>
          <w:p w14:paraId="28F22F86"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834FA4">
              <w:rPr>
                <w:rFonts w:asciiTheme="minorHAnsi" w:hAnsiTheme="minorHAnsi" w:cstheme="minorHAnsi"/>
                <w:sz w:val="22"/>
                <w:szCs w:val="22"/>
              </w:rPr>
              <w:t xml:space="preserve">However, the concern with redemption rights is that if a large percentage of shareholders choose to exercise their redemption rights this can drastically reduce the available cash proceeds that the SPAC will have available for its operating expenditures and to secure the acquisition of a viable asset/s. </w:t>
            </w:r>
          </w:p>
          <w:p w14:paraId="6E15F78D"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5BC6CE30"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sz w:val="22"/>
                <w:szCs w:val="22"/>
              </w:rPr>
              <w:t xml:space="preserve">Considering the concern, the JSE </w:t>
            </w:r>
            <w:r w:rsidRPr="00834FA4">
              <w:rPr>
                <w:rFonts w:asciiTheme="minorHAnsi" w:hAnsiTheme="minorHAnsi" w:cstheme="minorHAnsi"/>
                <w:color w:val="000000"/>
                <w:sz w:val="22"/>
                <w:szCs w:val="22"/>
                <w:shd w:val="clear" w:color="auto" w:fill="FFFFFF"/>
              </w:rPr>
              <w:t>intends to amend the Requirements to introduce a new definition of “</w:t>
            </w:r>
            <w:r w:rsidRPr="00834FA4">
              <w:rPr>
                <w:rFonts w:asciiTheme="minorHAnsi" w:hAnsiTheme="minorHAnsi" w:cstheme="minorHAnsi"/>
                <w:i/>
                <w:iCs/>
                <w:color w:val="000000"/>
                <w:sz w:val="22"/>
                <w:szCs w:val="22"/>
                <w:shd w:val="clear" w:color="auto" w:fill="FFFFFF"/>
              </w:rPr>
              <w:t>redemption rights</w:t>
            </w:r>
            <w:r w:rsidRPr="00834FA4">
              <w:rPr>
                <w:rFonts w:asciiTheme="minorHAnsi" w:hAnsiTheme="minorHAnsi" w:cstheme="minorHAnsi"/>
                <w:color w:val="000000"/>
                <w:sz w:val="22"/>
                <w:szCs w:val="22"/>
                <w:shd w:val="clear" w:color="auto" w:fill="FFFFFF"/>
              </w:rPr>
              <w:t>” and only afford certain shareholders in a SPAC a redemption right subject to the following:</w:t>
            </w:r>
          </w:p>
          <w:p w14:paraId="74E0EBEA"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73C76019" w14:textId="77777777" w:rsidR="009A6B7D" w:rsidRPr="00834FA4" w:rsidRDefault="009A6B7D" w:rsidP="009A6B7D">
            <w:pPr>
              <w:pStyle w:val="NormalWeb"/>
              <w:numPr>
                <w:ilvl w:val="0"/>
                <w:numId w:val="12"/>
              </w:numPr>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sz w:val="22"/>
                <w:szCs w:val="22"/>
              </w:rPr>
              <w:t xml:space="preserve">only shareholders voting against the acquisition of viable assets may elect to redeem securities and receive a </w:t>
            </w:r>
            <w:r w:rsidRPr="00834FA4">
              <w:rPr>
                <w:rFonts w:asciiTheme="minorHAnsi" w:hAnsiTheme="minorHAnsi" w:cstheme="minorHAnsi"/>
                <w:i/>
                <w:iCs/>
                <w:sz w:val="22"/>
                <w:szCs w:val="22"/>
              </w:rPr>
              <w:t>pro rata</w:t>
            </w:r>
            <w:r w:rsidRPr="00834FA4">
              <w:rPr>
                <w:rFonts w:asciiTheme="minorHAnsi" w:hAnsiTheme="minorHAnsi" w:cstheme="minorHAnsi"/>
                <w:sz w:val="22"/>
                <w:szCs w:val="22"/>
              </w:rPr>
              <w:t xml:space="preserve"> portion of the amount in escrow in cash, provided the acquisition of viable assets is approved within the prescribed period of 36 </w:t>
            </w:r>
            <w:proofErr w:type="gramStart"/>
            <w:r w:rsidRPr="00834FA4">
              <w:rPr>
                <w:rFonts w:asciiTheme="minorHAnsi" w:hAnsiTheme="minorHAnsi" w:cstheme="minorHAnsi"/>
                <w:sz w:val="22"/>
                <w:szCs w:val="22"/>
              </w:rPr>
              <w:t>months;</w:t>
            </w:r>
            <w:proofErr w:type="gramEnd"/>
          </w:p>
          <w:p w14:paraId="42BE9518" w14:textId="77777777" w:rsidR="009A6B7D" w:rsidRPr="00834FA4" w:rsidRDefault="009A6B7D" w:rsidP="009A6B7D">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sz w:val="22"/>
                <w:szCs w:val="22"/>
              </w:rPr>
              <w:t xml:space="preserve">directors of the SPAC and their associates may not exercise redemption </w:t>
            </w:r>
            <w:proofErr w:type="gramStart"/>
            <w:r w:rsidRPr="00834FA4">
              <w:rPr>
                <w:rFonts w:asciiTheme="minorHAnsi" w:hAnsiTheme="minorHAnsi" w:cstheme="minorHAnsi"/>
                <w:sz w:val="22"/>
                <w:szCs w:val="22"/>
              </w:rPr>
              <w:t>rights;</w:t>
            </w:r>
            <w:proofErr w:type="gramEnd"/>
          </w:p>
          <w:p w14:paraId="246A96DB" w14:textId="77777777" w:rsidR="009A6B7D" w:rsidRPr="00834FA4" w:rsidRDefault="009A6B7D" w:rsidP="009A6B7D">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sz w:val="22"/>
                <w:szCs w:val="22"/>
              </w:rPr>
              <w:t xml:space="preserve">the redemption price must be the initial listing subscription price, </w:t>
            </w:r>
            <w:r w:rsidRPr="008601E9">
              <w:rPr>
                <w:rFonts w:asciiTheme="minorHAnsi" w:hAnsiTheme="minorHAnsi" w:cstheme="minorHAnsi"/>
                <w:sz w:val="22"/>
                <w:szCs w:val="22"/>
              </w:rPr>
              <w:t xml:space="preserve">after applying the </w:t>
            </w:r>
            <w:r w:rsidRPr="008601E9">
              <w:rPr>
                <w:rFonts w:asciiTheme="minorHAnsi" w:hAnsiTheme="minorHAnsi" w:cstheme="minorHAnsi"/>
                <w:i/>
                <w:iCs/>
                <w:sz w:val="22"/>
                <w:szCs w:val="22"/>
              </w:rPr>
              <w:t>pro rata</w:t>
            </w:r>
            <w:r w:rsidRPr="008601E9">
              <w:rPr>
                <w:rFonts w:asciiTheme="minorHAnsi" w:hAnsiTheme="minorHAnsi" w:cstheme="minorHAnsi"/>
                <w:sz w:val="22"/>
                <w:szCs w:val="22"/>
              </w:rPr>
              <w:t xml:space="preserve"> operating expenses and interest earned on the capital under escrow</w:t>
            </w:r>
            <w:r>
              <w:rPr>
                <w:rFonts w:asciiTheme="minorHAnsi" w:hAnsiTheme="minorHAnsi" w:cstheme="minorHAnsi"/>
                <w:sz w:val="22"/>
                <w:szCs w:val="22"/>
              </w:rPr>
              <w:t>,</w:t>
            </w:r>
            <w:r w:rsidRPr="008601E9">
              <w:rPr>
                <w:rFonts w:asciiTheme="minorHAnsi" w:hAnsiTheme="minorHAnsi" w:cstheme="minorHAnsi"/>
                <w:sz w:val="22"/>
                <w:szCs w:val="22"/>
              </w:rPr>
              <w:t xml:space="preserve"> up to the redemption right exercise </w:t>
            </w:r>
            <w:proofErr w:type="gramStart"/>
            <w:r w:rsidRPr="008601E9">
              <w:rPr>
                <w:rFonts w:asciiTheme="minorHAnsi" w:hAnsiTheme="minorHAnsi" w:cstheme="minorHAnsi"/>
                <w:sz w:val="22"/>
                <w:szCs w:val="22"/>
              </w:rPr>
              <w:t>date</w:t>
            </w:r>
            <w:r w:rsidRPr="00834FA4">
              <w:rPr>
                <w:rFonts w:asciiTheme="minorHAnsi" w:hAnsiTheme="minorHAnsi" w:cstheme="minorHAnsi"/>
                <w:sz w:val="22"/>
                <w:szCs w:val="22"/>
              </w:rPr>
              <w:t>;</w:t>
            </w:r>
            <w:proofErr w:type="gramEnd"/>
            <w:r w:rsidRPr="00834FA4">
              <w:rPr>
                <w:rFonts w:asciiTheme="minorHAnsi" w:hAnsiTheme="minorHAnsi" w:cstheme="minorHAnsi"/>
                <w:sz w:val="22"/>
                <w:szCs w:val="22"/>
              </w:rPr>
              <w:t xml:space="preserve"> </w:t>
            </w:r>
          </w:p>
          <w:p w14:paraId="282A20EF" w14:textId="77777777" w:rsidR="009A6B7D" w:rsidRPr="00834FA4" w:rsidRDefault="009A6B7D" w:rsidP="009A6B7D">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sz w:val="22"/>
                <w:szCs w:val="22"/>
              </w:rPr>
              <w:t>an issuer may establish a limit as to the maximum number of securities with respect to which each eligible shareholder may exercise a redemption right, provided that such total limit may not be less than 10% of the issued share capital on listing. Any redemption limit established by the issuer must apply equally to all shareholders entitled to a redemption right; and</w:t>
            </w:r>
          </w:p>
          <w:p w14:paraId="733E2E56" w14:textId="77777777" w:rsidR="009A6B7D" w:rsidRPr="00834FA4" w:rsidRDefault="009A6B7D" w:rsidP="009A6B7D">
            <w:pPr>
              <w:pStyle w:val="NormalWeb"/>
              <w:numPr>
                <w:ilvl w:val="0"/>
                <w:numId w:val="11"/>
              </w:numPr>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sz w:val="22"/>
                <w:szCs w:val="22"/>
              </w:rPr>
              <w:t>the redemption right mechanism and timing must be clearly explained the prospectus/pre-listing statement of the applicant.</w:t>
            </w:r>
          </w:p>
          <w:p w14:paraId="33849E51"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tc>
        <w:tc>
          <w:tcPr>
            <w:tcW w:w="4732" w:type="dxa"/>
          </w:tcPr>
          <w:p w14:paraId="01BA53AF" w14:textId="77777777" w:rsidR="009A6B7D" w:rsidRPr="00834FA4" w:rsidRDefault="009A6B7D" w:rsidP="00C37316">
            <w:pPr>
              <w:jc w:val="both"/>
              <w:rPr>
                <w:rFonts w:cstheme="minorHAnsi"/>
                <w:bCs/>
              </w:rPr>
            </w:pPr>
            <w:r w:rsidRPr="00834FA4">
              <w:rPr>
                <w:rFonts w:cstheme="minorHAnsi"/>
                <w:bCs/>
              </w:rPr>
              <w:lastRenderedPageBreak/>
              <w:t xml:space="preserve">In the interest of investor protection, one of the important safeguards is a redemption right. </w:t>
            </w:r>
            <w:proofErr w:type="gramStart"/>
            <w:r w:rsidRPr="00834FA4">
              <w:rPr>
                <w:rFonts w:cstheme="minorHAnsi"/>
                <w:bCs/>
              </w:rPr>
              <w:t>However</w:t>
            </w:r>
            <w:proofErr w:type="gramEnd"/>
            <w:r w:rsidRPr="00834FA4">
              <w:rPr>
                <w:rFonts w:cstheme="minorHAnsi"/>
                <w:bCs/>
              </w:rPr>
              <w:t xml:space="preserve"> a redemption right should still strike the right balance to afford the issuer with a level of certainty as to which shareholders are afforded redemption rights in order to make an informed assessment on its capabilities to secure the acquisition of viable assets.  </w:t>
            </w:r>
          </w:p>
          <w:p w14:paraId="64291446" w14:textId="77777777" w:rsidR="009A6B7D" w:rsidRPr="00834FA4" w:rsidRDefault="009A6B7D" w:rsidP="00C37316">
            <w:pPr>
              <w:jc w:val="both"/>
              <w:rPr>
                <w:rFonts w:cstheme="minorHAnsi"/>
              </w:rPr>
            </w:pPr>
          </w:p>
        </w:tc>
      </w:tr>
      <w:tr w:rsidR="009A6B7D" w:rsidRPr="00834FA4" w14:paraId="7F021442" w14:textId="77777777" w:rsidTr="00C37316">
        <w:tc>
          <w:tcPr>
            <w:tcW w:w="853" w:type="dxa"/>
          </w:tcPr>
          <w:p w14:paraId="4F6938C1" w14:textId="77777777" w:rsidR="009A6B7D" w:rsidRPr="00834FA4" w:rsidRDefault="009A6B7D" w:rsidP="00C37316">
            <w:pPr>
              <w:jc w:val="both"/>
              <w:rPr>
                <w:rFonts w:cstheme="minorHAnsi"/>
                <w:b/>
              </w:rPr>
            </w:pPr>
          </w:p>
        </w:tc>
        <w:tc>
          <w:tcPr>
            <w:tcW w:w="1552" w:type="dxa"/>
          </w:tcPr>
          <w:p w14:paraId="12B330C3" w14:textId="77777777" w:rsidR="009A6B7D" w:rsidRPr="00834FA4" w:rsidRDefault="009A6B7D" w:rsidP="00C37316">
            <w:pPr>
              <w:jc w:val="both"/>
              <w:rPr>
                <w:rFonts w:cstheme="minorHAnsi"/>
                <w:b/>
                <w:bCs/>
              </w:rPr>
            </w:pPr>
          </w:p>
        </w:tc>
        <w:tc>
          <w:tcPr>
            <w:tcW w:w="6039" w:type="dxa"/>
          </w:tcPr>
          <w:p w14:paraId="7F626AD9" w14:textId="77777777" w:rsidR="009A6B7D" w:rsidRPr="00834FA4" w:rsidRDefault="009A6B7D" w:rsidP="00C37316">
            <w:pPr>
              <w:jc w:val="both"/>
              <w:rPr>
                <w:rFonts w:cstheme="minorHAnsi"/>
                <w:b/>
                <w:bCs/>
              </w:rPr>
            </w:pPr>
          </w:p>
        </w:tc>
        <w:tc>
          <w:tcPr>
            <w:tcW w:w="4732" w:type="dxa"/>
          </w:tcPr>
          <w:p w14:paraId="7DAA0801" w14:textId="77777777" w:rsidR="009A6B7D" w:rsidRPr="00834FA4" w:rsidRDefault="009A6B7D" w:rsidP="00C37316">
            <w:pPr>
              <w:jc w:val="both"/>
              <w:rPr>
                <w:rFonts w:cstheme="minorHAnsi"/>
              </w:rPr>
            </w:pPr>
          </w:p>
        </w:tc>
      </w:tr>
      <w:tr w:rsidR="009A6B7D" w:rsidRPr="00834FA4" w14:paraId="34ED5BFD" w14:textId="77777777" w:rsidTr="00C37316">
        <w:tc>
          <w:tcPr>
            <w:tcW w:w="853" w:type="dxa"/>
          </w:tcPr>
          <w:p w14:paraId="0DD01899" w14:textId="77777777" w:rsidR="009A6B7D" w:rsidRPr="00834FA4" w:rsidRDefault="009A6B7D" w:rsidP="00C37316">
            <w:pPr>
              <w:jc w:val="both"/>
              <w:rPr>
                <w:rFonts w:cstheme="minorHAnsi"/>
                <w:b/>
              </w:rPr>
            </w:pPr>
            <w:r>
              <w:rPr>
                <w:rFonts w:cstheme="minorHAnsi"/>
                <w:b/>
              </w:rPr>
              <w:t>6</w:t>
            </w:r>
          </w:p>
        </w:tc>
        <w:tc>
          <w:tcPr>
            <w:tcW w:w="1552" w:type="dxa"/>
          </w:tcPr>
          <w:p w14:paraId="034C595D" w14:textId="77777777" w:rsidR="009A6B7D" w:rsidRPr="00834FA4" w:rsidRDefault="009A6B7D" w:rsidP="00C37316">
            <w:pPr>
              <w:jc w:val="both"/>
              <w:rPr>
                <w:rFonts w:cstheme="minorHAnsi"/>
                <w:b/>
                <w:bCs/>
              </w:rPr>
            </w:pPr>
            <w:r w:rsidRPr="00834FA4">
              <w:rPr>
                <w:rFonts w:cstheme="minorHAnsi"/>
                <w:b/>
                <w:bCs/>
              </w:rPr>
              <w:t>Section 4: Conditions of Listing</w:t>
            </w:r>
          </w:p>
        </w:tc>
        <w:tc>
          <w:tcPr>
            <w:tcW w:w="6039" w:type="dxa"/>
          </w:tcPr>
          <w:p w14:paraId="230CE59B" w14:textId="77777777" w:rsidR="009A6B7D" w:rsidRDefault="009A6B7D" w:rsidP="00C37316">
            <w:pPr>
              <w:jc w:val="both"/>
              <w:rPr>
                <w:rStyle w:val="Strong"/>
                <w:rFonts w:cstheme="minorHAnsi"/>
                <w:bdr w:val="none" w:sz="0" w:space="0" w:color="auto" w:frame="1"/>
              </w:rPr>
            </w:pPr>
            <w:r w:rsidRPr="00ED37AE">
              <w:rPr>
                <w:b/>
                <w:bCs/>
              </w:rPr>
              <w:t xml:space="preserve">Item: </w:t>
            </w:r>
            <w:r>
              <w:rPr>
                <w:b/>
                <w:bCs/>
              </w:rPr>
              <w:t xml:space="preserve">SPAC &amp; Dual Class Shares </w:t>
            </w:r>
          </w:p>
          <w:p w14:paraId="40D13437" w14:textId="77777777" w:rsidR="009A6B7D" w:rsidRDefault="009A6B7D" w:rsidP="00C37316">
            <w:pPr>
              <w:jc w:val="both"/>
              <w:rPr>
                <w:rFonts w:cstheme="minorHAnsi"/>
                <w:b/>
              </w:rPr>
            </w:pPr>
            <w:r>
              <w:rPr>
                <w:rFonts w:cstheme="minorHAnsi"/>
                <w:b/>
              </w:rPr>
              <w:t xml:space="preserve">New paragraph </w:t>
            </w:r>
            <w:r w:rsidRPr="00F12C3F">
              <w:rPr>
                <w:rFonts w:cstheme="minorHAnsi"/>
                <w:b/>
              </w:rPr>
              <w:t>4.</w:t>
            </w:r>
            <w:r>
              <w:rPr>
                <w:rFonts w:cstheme="minorHAnsi"/>
                <w:b/>
              </w:rPr>
              <w:t>34(i)</w:t>
            </w:r>
          </w:p>
          <w:p w14:paraId="34CD08B5" w14:textId="77777777" w:rsidR="009A6B7D" w:rsidRDefault="009A6B7D" w:rsidP="00C37316">
            <w:pPr>
              <w:jc w:val="both"/>
              <w:rPr>
                <w:rFonts w:cstheme="minorHAnsi"/>
                <w:b/>
              </w:rPr>
            </w:pPr>
          </w:p>
          <w:p w14:paraId="38D3E2B8"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lastRenderedPageBreak/>
              <w:t xml:space="preserve">The JSE intends to amend the Requirements to </w:t>
            </w:r>
            <w:r>
              <w:rPr>
                <w:rFonts w:asciiTheme="minorHAnsi" w:hAnsiTheme="minorHAnsi" w:cstheme="minorHAnsi"/>
                <w:color w:val="000000"/>
                <w:sz w:val="22"/>
                <w:szCs w:val="22"/>
                <w:shd w:val="clear" w:color="auto" w:fill="FFFFFF"/>
              </w:rPr>
              <w:t>introduce the listing of dual class share structures on the JSE, however a SPAC will not be permitted to list with a dual class share structure (“</w:t>
            </w:r>
            <w:r w:rsidRPr="00C73B66">
              <w:rPr>
                <w:rFonts w:asciiTheme="minorHAnsi" w:hAnsiTheme="minorHAnsi" w:cstheme="minorHAnsi"/>
                <w:b/>
                <w:bCs/>
                <w:color w:val="000000"/>
                <w:sz w:val="22"/>
                <w:szCs w:val="22"/>
                <w:shd w:val="clear" w:color="auto" w:fill="FFFFFF"/>
              </w:rPr>
              <w:t>DCS structure</w:t>
            </w:r>
            <w:r>
              <w:rPr>
                <w:rFonts w:asciiTheme="minorHAnsi" w:hAnsiTheme="minorHAnsi" w:cstheme="minorHAnsi"/>
                <w:color w:val="000000"/>
                <w:sz w:val="22"/>
                <w:szCs w:val="22"/>
                <w:shd w:val="clear" w:color="auto" w:fill="FFFFFF"/>
              </w:rPr>
              <w:t xml:space="preserve">”).  </w:t>
            </w:r>
          </w:p>
          <w:p w14:paraId="33AD73F4" w14:textId="77777777" w:rsidR="009A6B7D" w:rsidRPr="00834FA4" w:rsidRDefault="009A6B7D" w:rsidP="00C37316">
            <w:pPr>
              <w:jc w:val="both"/>
              <w:rPr>
                <w:rFonts w:cstheme="minorHAnsi"/>
                <w:b/>
                <w:bCs/>
              </w:rPr>
            </w:pPr>
          </w:p>
        </w:tc>
        <w:tc>
          <w:tcPr>
            <w:tcW w:w="4732" w:type="dxa"/>
          </w:tcPr>
          <w:p w14:paraId="20461994" w14:textId="77777777" w:rsidR="009A6B7D" w:rsidRDefault="009A6B7D" w:rsidP="00C37316">
            <w:pPr>
              <w:jc w:val="both"/>
            </w:pPr>
            <w:r>
              <w:lastRenderedPageBreak/>
              <w:t>The SPAC does not have established business operations nor financial track-record, as such it can be argued that there is no purpose to adopting a</w:t>
            </w:r>
            <w:r>
              <w:rPr>
                <w:rFonts w:cstheme="minorHAnsi"/>
                <w:color w:val="000000"/>
                <w:shd w:val="clear" w:color="auto" w:fill="FFFFFF"/>
              </w:rPr>
              <w:t xml:space="preserve"> DCS structure</w:t>
            </w:r>
            <w:r>
              <w:t xml:space="preserve"> on the listing of a SPAC. </w:t>
            </w:r>
          </w:p>
          <w:p w14:paraId="3C50169C" w14:textId="77777777" w:rsidR="009A6B7D" w:rsidRDefault="009A6B7D" w:rsidP="00C37316">
            <w:pPr>
              <w:jc w:val="both"/>
              <w:rPr>
                <w:rFonts w:cstheme="minorHAnsi"/>
                <w:color w:val="000000"/>
                <w:shd w:val="clear" w:color="auto" w:fill="FFFFFF"/>
              </w:rPr>
            </w:pPr>
          </w:p>
          <w:p w14:paraId="67804253" w14:textId="77777777" w:rsidR="009A6B7D" w:rsidRDefault="009A6B7D" w:rsidP="00C37316">
            <w:pPr>
              <w:jc w:val="both"/>
            </w:pPr>
            <w:r>
              <w:rPr>
                <w:rFonts w:cstheme="minorHAnsi"/>
                <w:color w:val="000000"/>
                <w:shd w:val="clear" w:color="auto" w:fill="FFFFFF"/>
              </w:rPr>
              <w:t>DCS structures</w:t>
            </w:r>
            <w:r>
              <w:t xml:space="preserve"> are generally preserved to afford the founders the flexibility and freedom to strategically steer the established company they created post listing, to ensure continuity in its operations.</w:t>
            </w:r>
          </w:p>
          <w:p w14:paraId="3E7D5A52" w14:textId="77777777" w:rsidR="009A6B7D" w:rsidRDefault="009A6B7D" w:rsidP="00C37316">
            <w:pPr>
              <w:jc w:val="both"/>
            </w:pPr>
          </w:p>
          <w:p w14:paraId="69FED267" w14:textId="77777777" w:rsidR="009A6B7D" w:rsidRDefault="009A6B7D" w:rsidP="00C37316">
            <w:pPr>
              <w:jc w:val="both"/>
            </w:pPr>
            <w:r>
              <w:t xml:space="preserve">It is however accepted that a SPAC should be allowed to adopt a dual class share structure upon the completion of the acquisition of viable assets and subsequent listing. The founders/owners of the target company may be involved in industry sectors (new technology and the like) where it is preferred that a DCS structure be adopted </w:t>
            </w:r>
            <w:proofErr w:type="gramStart"/>
            <w:r>
              <w:t>in order to</w:t>
            </w:r>
            <w:proofErr w:type="gramEnd"/>
            <w:r>
              <w:t xml:space="preserve"> retain strategic control of the business. </w:t>
            </w:r>
          </w:p>
          <w:p w14:paraId="6FDAB8B8" w14:textId="77777777" w:rsidR="009A6B7D" w:rsidRPr="003D180B" w:rsidRDefault="009A6B7D" w:rsidP="00C37316">
            <w:pPr>
              <w:jc w:val="both"/>
            </w:pPr>
          </w:p>
        </w:tc>
      </w:tr>
      <w:tr w:rsidR="009A6B7D" w:rsidRPr="00834FA4" w14:paraId="3AE405A8" w14:textId="77777777" w:rsidTr="00C37316">
        <w:tc>
          <w:tcPr>
            <w:tcW w:w="853" w:type="dxa"/>
          </w:tcPr>
          <w:p w14:paraId="10EEB72E" w14:textId="77777777" w:rsidR="009A6B7D" w:rsidRPr="00834FA4" w:rsidRDefault="009A6B7D" w:rsidP="00C37316">
            <w:pPr>
              <w:jc w:val="both"/>
              <w:rPr>
                <w:rFonts w:cstheme="minorHAnsi"/>
                <w:b/>
              </w:rPr>
            </w:pPr>
          </w:p>
        </w:tc>
        <w:tc>
          <w:tcPr>
            <w:tcW w:w="1552" w:type="dxa"/>
          </w:tcPr>
          <w:p w14:paraId="30F61104" w14:textId="77777777" w:rsidR="009A6B7D" w:rsidRPr="00834FA4" w:rsidRDefault="009A6B7D" w:rsidP="00C37316">
            <w:pPr>
              <w:jc w:val="both"/>
              <w:rPr>
                <w:rFonts w:cstheme="minorHAnsi"/>
                <w:b/>
                <w:bCs/>
              </w:rPr>
            </w:pPr>
          </w:p>
        </w:tc>
        <w:tc>
          <w:tcPr>
            <w:tcW w:w="6039" w:type="dxa"/>
          </w:tcPr>
          <w:p w14:paraId="6AF78DDC" w14:textId="77777777" w:rsidR="009A6B7D" w:rsidRPr="00834FA4" w:rsidRDefault="009A6B7D" w:rsidP="00C37316">
            <w:pPr>
              <w:jc w:val="both"/>
              <w:rPr>
                <w:rFonts w:cstheme="minorHAnsi"/>
              </w:rPr>
            </w:pPr>
          </w:p>
        </w:tc>
        <w:tc>
          <w:tcPr>
            <w:tcW w:w="4732" w:type="dxa"/>
          </w:tcPr>
          <w:p w14:paraId="360A0EBC" w14:textId="77777777" w:rsidR="009A6B7D" w:rsidRPr="00834FA4" w:rsidRDefault="009A6B7D" w:rsidP="00C37316">
            <w:pPr>
              <w:jc w:val="both"/>
              <w:rPr>
                <w:rFonts w:cstheme="minorHAnsi"/>
              </w:rPr>
            </w:pPr>
          </w:p>
        </w:tc>
      </w:tr>
      <w:tr w:rsidR="009A6B7D" w:rsidRPr="00834FA4" w14:paraId="489BADEB" w14:textId="77777777" w:rsidTr="00C37316">
        <w:tc>
          <w:tcPr>
            <w:tcW w:w="853" w:type="dxa"/>
          </w:tcPr>
          <w:p w14:paraId="58B9E32F" w14:textId="77777777" w:rsidR="009A6B7D" w:rsidRPr="00834FA4" w:rsidRDefault="009A6B7D" w:rsidP="00C37316">
            <w:pPr>
              <w:jc w:val="both"/>
              <w:rPr>
                <w:rFonts w:cstheme="minorHAnsi"/>
                <w:b/>
              </w:rPr>
            </w:pPr>
            <w:r>
              <w:rPr>
                <w:rFonts w:cstheme="minorHAnsi"/>
                <w:b/>
              </w:rPr>
              <w:t>7</w:t>
            </w:r>
          </w:p>
        </w:tc>
        <w:tc>
          <w:tcPr>
            <w:tcW w:w="1552" w:type="dxa"/>
          </w:tcPr>
          <w:p w14:paraId="6E4D6427" w14:textId="77777777" w:rsidR="009A6B7D" w:rsidRPr="00834FA4" w:rsidRDefault="009A6B7D" w:rsidP="00C37316">
            <w:pPr>
              <w:jc w:val="both"/>
              <w:rPr>
                <w:rFonts w:cstheme="minorHAnsi"/>
                <w:b/>
                <w:bCs/>
              </w:rPr>
            </w:pPr>
            <w:r w:rsidRPr="00834FA4">
              <w:rPr>
                <w:rFonts w:cstheme="minorHAnsi"/>
                <w:b/>
                <w:bCs/>
              </w:rPr>
              <w:t>Section 4: Conditions of Listing</w:t>
            </w:r>
          </w:p>
        </w:tc>
        <w:tc>
          <w:tcPr>
            <w:tcW w:w="6039" w:type="dxa"/>
          </w:tcPr>
          <w:p w14:paraId="2A082375" w14:textId="77777777" w:rsidR="009A6B7D" w:rsidRPr="00834FA4" w:rsidRDefault="009A6B7D" w:rsidP="00C37316">
            <w:pPr>
              <w:jc w:val="both"/>
              <w:rPr>
                <w:rFonts w:cstheme="minorHAnsi"/>
                <w:b/>
                <w:bCs/>
              </w:rPr>
            </w:pPr>
            <w:r w:rsidRPr="00834FA4">
              <w:rPr>
                <w:rFonts w:cstheme="minorHAnsi"/>
                <w:b/>
                <w:bCs/>
              </w:rPr>
              <w:t>Initial period to complete acquisition of viable assets</w:t>
            </w:r>
          </w:p>
          <w:p w14:paraId="1544F994" w14:textId="77777777" w:rsidR="009A6B7D" w:rsidRPr="00834FA4" w:rsidRDefault="009A6B7D" w:rsidP="00C37316">
            <w:pPr>
              <w:jc w:val="both"/>
              <w:rPr>
                <w:rFonts w:cstheme="minorHAnsi"/>
                <w:b/>
              </w:rPr>
            </w:pPr>
            <w:r w:rsidRPr="00834FA4">
              <w:rPr>
                <w:rFonts w:cstheme="minorHAnsi"/>
                <w:b/>
              </w:rPr>
              <w:t>New expanded paragraph 4.35(a)</w:t>
            </w:r>
          </w:p>
          <w:p w14:paraId="12274D7A" w14:textId="77777777" w:rsidR="009A6B7D" w:rsidRPr="00834FA4" w:rsidRDefault="009A6B7D" w:rsidP="00C37316">
            <w:pPr>
              <w:jc w:val="both"/>
              <w:rPr>
                <w:rFonts w:cstheme="minorHAnsi"/>
                <w:b/>
              </w:rPr>
            </w:pPr>
          </w:p>
          <w:p w14:paraId="08D40955"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t>A SPAC must have completed the acquisition of viable assets within 24 months from the date of listing. Currently, the JSE may extend this date on application from the SPAC only on the basis that the SPAC can illustrate to the JSE that an acquisition of viable assets is imminent.</w:t>
            </w:r>
          </w:p>
          <w:p w14:paraId="4976A458"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678BB316"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t xml:space="preserve">The JSE intends to amend the Requirements to afford SPACs with more flexibility on the period to complete the acquisition of a viable assets, to make it clear from the outset that a SPAC has a firm and maximum period of 36 months to complete the acquisition of viable assets. </w:t>
            </w:r>
          </w:p>
          <w:p w14:paraId="75623B24"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5483C059"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lastRenderedPageBreak/>
              <w:t xml:space="preserve">The JSE discretion will be removed, and no extensions can be granted beyond the </w:t>
            </w:r>
            <w:proofErr w:type="gramStart"/>
            <w:r w:rsidRPr="00834FA4">
              <w:rPr>
                <w:rFonts w:asciiTheme="minorHAnsi" w:hAnsiTheme="minorHAnsi" w:cstheme="minorHAnsi"/>
                <w:color w:val="000000"/>
                <w:sz w:val="22"/>
                <w:szCs w:val="22"/>
                <w:shd w:val="clear" w:color="auto" w:fill="FFFFFF"/>
              </w:rPr>
              <w:t>36 month</w:t>
            </w:r>
            <w:proofErr w:type="gramEnd"/>
            <w:r w:rsidRPr="00834FA4">
              <w:rPr>
                <w:rFonts w:asciiTheme="minorHAnsi" w:hAnsiTheme="minorHAnsi" w:cstheme="minorHAnsi"/>
                <w:color w:val="000000"/>
                <w:sz w:val="22"/>
                <w:szCs w:val="22"/>
                <w:shd w:val="clear" w:color="auto" w:fill="FFFFFF"/>
              </w:rPr>
              <w:t xml:space="preserve"> period. </w:t>
            </w:r>
          </w:p>
          <w:p w14:paraId="5D77024D"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39A03A5C" w14:textId="77777777" w:rsidR="009A6B7D" w:rsidRPr="00834FA4" w:rsidRDefault="009A6B7D" w:rsidP="00C37316">
            <w:pPr>
              <w:jc w:val="both"/>
              <w:rPr>
                <w:rFonts w:cstheme="minorHAnsi"/>
              </w:rPr>
            </w:pPr>
          </w:p>
        </w:tc>
        <w:tc>
          <w:tcPr>
            <w:tcW w:w="4732" w:type="dxa"/>
          </w:tcPr>
          <w:p w14:paraId="52EBB4F6" w14:textId="77777777" w:rsidR="009A6B7D" w:rsidRPr="00834FA4" w:rsidRDefault="009A6B7D" w:rsidP="00C37316">
            <w:pPr>
              <w:jc w:val="both"/>
              <w:rPr>
                <w:rFonts w:cstheme="minorHAnsi"/>
              </w:rPr>
            </w:pPr>
            <w:r w:rsidRPr="00834FA4">
              <w:rPr>
                <w:rFonts w:cstheme="minorHAnsi"/>
              </w:rPr>
              <w:lastRenderedPageBreak/>
              <w:t>The maximum time frame of 36 months to complete an acquisition is consistent with the requirements of exchanges in the U.S., Toronto and Malaysia, and it is considered to be a reasonable duration for a SPAC to take the necessary steps in completing the acquisition of viable assets, including the completion of due diligence, the process for preparation of the circular to shareholders and calling for the general meeting to vote on the acquisition, and obtaining regulatory approvals (where applicable).</w:t>
            </w:r>
          </w:p>
          <w:p w14:paraId="378A1D88" w14:textId="77777777" w:rsidR="009A6B7D" w:rsidRPr="00834FA4" w:rsidRDefault="009A6B7D" w:rsidP="00C37316">
            <w:pPr>
              <w:jc w:val="both"/>
              <w:rPr>
                <w:rFonts w:cstheme="minorHAnsi"/>
              </w:rPr>
            </w:pPr>
          </w:p>
        </w:tc>
      </w:tr>
      <w:tr w:rsidR="009A6B7D" w:rsidRPr="00834FA4" w14:paraId="14770536" w14:textId="77777777" w:rsidTr="00C37316">
        <w:tc>
          <w:tcPr>
            <w:tcW w:w="853" w:type="dxa"/>
          </w:tcPr>
          <w:p w14:paraId="176BDD1A" w14:textId="77777777" w:rsidR="009A6B7D" w:rsidRDefault="009A6B7D" w:rsidP="00C37316">
            <w:pPr>
              <w:jc w:val="both"/>
              <w:rPr>
                <w:rFonts w:cstheme="minorHAnsi"/>
                <w:b/>
              </w:rPr>
            </w:pPr>
          </w:p>
        </w:tc>
        <w:tc>
          <w:tcPr>
            <w:tcW w:w="1552" w:type="dxa"/>
          </w:tcPr>
          <w:p w14:paraId="200DE1EC" w14:textId="77777777" w:rsidR="009A6B7D" w:rsidRPr="00834FA4" w:rsidRDefault="009A6B7D" w:rsidP="00C37316">
            <w:pPr>
              <w:jc w:val="both"/>
              <w:rPr>
                <w:rFonts w:cstheme="minorHAnsi"/>
                <w:b/>
                <w:bCs/>
              </w:rPr>
            </w:pPr>
          </w:p>
        </w:tc>
        <w:tc>
          <w:tcPr>
            <w:tcW w:w="6039" w:type="dxa"/>
          </w:tcPr>
          <w:p w14:paraId="4FA0EC68" w14:textId="77777777" w:rsidR="009A6B7D" w:rsidRPr="00834FA4" w:rsidRDefault="009A6B7D" w:rsidP="00C37316">
            <w:pPr>
              <w:jc w:val="both"/>
              <w:rPr>
                <w:rFonts w:cstheme="minorHAnsi"/>
                <w:b/>
                <w:bCs/>
              </w:rPr>
            </w:pPr>
          </w:p>
        </w:tc>
        <w:tc>
          <w:tcPr>
            <w:tcW w:w="4732" w:type="dxa"/>
          </w:tcPr>
          <w:p w14:paraId="6B9A2B2B" w14:textId="77777777" w:rsidR="009A6B7D" w:rsidRPr="00834FA4" w:rsidRDefault="009A6B7D" w:rsidP="00C37316">
            <w:pPr>
              <w:jc w:val="both"/>
              <w:rPr>
                <w:rFonts w:cstheme="minorHAnsi"/>
              </w:rPr>
            </w:pPr>
          </w:p>
        </w:tc>
      </w:tr>
      <w:tr w:rsidR="009A6B7D" w:rsidRPr="00834FA4" w14:paraId="7A1735BE" w14:textId="77777777" w:rsidTr="00C37316">
        <w:tc>
          <w:tcPr>
            <w:tcW w:w="853" w:type="dxa"/>
          </w:tcPr>
          <w:p w14:paraId="350FB45F" w14:textId="77777777" w:rsidR="009A6B7D" w:rsidRDefault="009A6B7D" w:rsidP="00C37316">
            <w:pPr>
              <w:jc w:val="both"/>
              <w:rPr>
                <w:rFonts w:cstheme="minorHAnsi"/>
                <w:b/>
              </w:rPr>
            </w:pPr>
            <w:r>
              <w:rPr>
                <w:rFonts w:cstheme="minorHAnsi"/>
                <w:b/>
              </w:rPr>
              <w:t>8</w:t>
            </w:r>
          </w:p>
        </w:tc>
        <w:tc>
          <w:tcPr>
            <w:tcW w:w="1552" w:type="dxa"/>
          </w:tcPr>
          <w:p w14:paraId="36876C7D" w14:textId="77777777" w:rsidR="009A6B7D" w:rsidRPr="00834FA4" w:rsidRDefault="009A6B7D" w:rsidP="00C37316">
            <w:pPr>
              <w:jc w:val="both"/>
              <w:rPr>
                <w:rFonts w:cstheme="minorHAnsi"/>
                <w:b/>
                <w:bCs/>
              </w:rPr>
            </w:pPr>
            <w:r w:rsidRPr="00834FA4">
              <w:rPr>
                <w:rFonts w:cstheme="minorHAnsi"/>
                <w:b/>
                <w:bCs/>
              </w:rPr>
              <w:t>Section 4: Conditions of Listing</w:t>
            </w:r>
          </w:p>
        </w:tc>
        <w:tc>
          <w:tcPr>
            <w:tcW w:w="6039" w:type="dxa"/>
          </w:tcPr>
          <w:p w14:paraId="0459D84C" w14:textId="77777777" w:rsidR="009A6B7D" w:rsidRDefault="009A6B7D" w:rsidP="00C37316">
            <w:pPr>
              <w:jc w:val="both"/>
              <w:rPr>
                <w:rFonts w:cstheme="minorHAnsi"/>
                <w:b/>
                <w:bCs/>
              </w:rPr>
            </w:pPr>
            <w:r>
              <w:rPr>
                <w:rFonts w:cstheme="minorHAnsi"/>
                <w:b/>
                <w:bCs/>
              </w:rPr>
              <w:t>Escrow Arrangements</w:t>
            </w:r>
          </w:p>
          <w:p w14:paraId="05CB89C5" w14:textId="77777777" w:rsidR="009A6B7D" w:rsidRDefault="009A6B7D" w:rsidP="00C37316">
            <w:pPr>
              <w:jc w:val="both"/>
              <w:rPr>
                <w:rFonts w:cstheme="minorHAnsi"/>
                <w:b/>
                <w:bCs/>
              </w:rPr>
            </w:pPr>
            <w:r>
              <w:rPr>
                <w:rFonts w:cstheme="minorHAnsi"/>
                <w:b/>
                <w:bCs/>
              </w:rPr>
              <w:t>Paragraph 4.33</w:t>
            </w:r>
          </w:p>
          <w:p w14:paraId="6C70F9D8" w14:textId="77777777" w:rsidR="009A6B7D" w:rsidRDefault="009A6B7D" w:rsidP="00C37316">
            <w:pPr>
              <w:jc w:val="both"/>
              <w:rPr>
                <w:rFonts w:cstheme="minorHAnsi"/>
                <w:b/>
                <w:bCs/>
              </w:rPr>
            </w:pPr>
            <w:r>
              <w:rPr>
                <w:rFonts w:cstheme="minorHAnsi"/>
                <w:b/>
                <w:bCs/>
              </w:rPr>
              <w:t>New Definition</w:t>
            </w:r>
          </w:p>
          <w:p w14:paraId="452DC4E9" w14:textId="77777777" w:rsidR="009A6B7D" w:rsidRDefault="009A6B7D" w:rsidP="00C37316">
            <w:pPr>
              <w:jc w:val="both"/>
            </w:pPr>
          </w:p>
          <w:p w14:paraId="07E7F8C9"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0D2474">
              <w:rPr>
                <w:rFonts w:asciiTheme="minorHAnsi" w:hAnsiTheme="minorHAnsi" w:cstheme="minorHAnsi"/>
                <w:sz w:val="22"/>
                <w:szCs w:val="22"/>
              </w:rPr>
              <w:t>All capital raised by a SPAC must be paid directly into an account managed by an escrow agent.</w:t>
            </w:r>
            <w:r w:rsidRPr="000D2474">
              <w:rPr>
                <w:rFonts w:asciiTheme="minorHAnsi" w:hAnsiTheme="minorHAnsi" w:cstheme="minorHAnsi"/>
                <w:color w:val="000000"/>
                <w:sz w:val="22"/>
                <w:szCs w:val="22"/>
                <w:shd w:val="clear" w:color="auto" w:fill="FFFFFF"/>
              </w:rPr>
              <w:t xml:space="preserve"> </w:t>
            </w:r>
          </w:p>
          <w:p w14:paraId="693FFE33"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5707D9CB" w14:textId="77777777" w:rsidR="009A6B7D" w:rsidRPr="000D247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0D2474">
              <w:rPr>
                <w:rFonts w:asciiTheme="minorHAnsi" w:hAnsiTheme="minorHAnsi" w:cstheme="minorHAnsi"/>
                <w:color w:val="000000"/>
                <w:sz w:val="22"/>
                <w:szCs w:val="22"/>
                <w:shd w:val="clear" w:color="auto" w:fill="FFFFFF"/>
              </w:rPr>
              <w:t>The intention with the current provision</w:t>
            </w:r>
            <w:r>
              <w:rPr>
                <w:rFonts w:asciiTheme="minorHAnsi" w:hAnsiTheme="minorHAnsi" w:cstheme="minorHAnsi"/>
                <w:color w:val="000000"/>
                <w:sz w:val="22"/>
                <w:szCs w:val="22"/>
                <w:shd w:val="clear" w:color="auto" w:fill="FFFFFF"/>
              </w:rPr>
              <w:t xml:space="preserve">s, being the creation of an escrow account and appointment of escrow agent, is </w:t>
            </w:r>
            <w:r w:rsidRPr="000D2474">
              <w:rPr>
                <w:rFonts w:asciiTheme="minorHAnsi" w:hAnsiTheme="minorHAnsi" w:cstheme="minorHAnsi"/>
                <w:color w:val="000000"/>
                <w:sz w:val="22"/>
                <w:szCs w:val="22"/>
                <w:shd w:val="clear" w:color="auto" w:fill="FFFFFF"/>
              </w:rPr>
              <w:t xml:space="preserve">to ensure </w:t>
            </w:r>
            <w:r>
              <w:rPr>
                <w:rFonts w:asciiTheme="minorHAnsi" w:hAnsiTheme="minorHAnsi" w:cstheme="minorHAnsi"/>
                <w:color w:val="000000"/>
                <w:sz w:val="22"/>
                <w:szCs w:val="22"/>
                <w:shd w:val="clear" w:color="auto" w:fill="FFFFFF"/>
              </w:rPr>
              <w:t>the</w:t>
            </w:r>
            <w:r w:rsidRPr="000D2474">
              <w:rPr>
                <w:rFonts w:asciiTheme="minorHAnsi" w:hAnsiTheme="minorHAnsi" w:cstheme="minorHAnsi"/>
                <w:color w:val="000000"/>
                <w:sz w:val="22"/>
                <w:szCs w:val="22"/>
                <w:shd w:val="clear" w:color="auto" w:fill="FFFFFF"/>
              </w:rPr>
              <w:t xml:space="preserve"> safe custody </w:t>
            </w:r>
            <w:r>
              <w:rPr>
                <w:rFonts w:asciiTheme="minorHAnsi" w:hAnsiTheme="minorHAnsi" w:cstheme="minorHAnsi"/>
                <w:color w:val="000000"/>
                <w:sz w:val="22"/>
                <w:szCs w:val="22"/>
                <w:shd w:val="clear" w:color="auto" w:fill="FFFFFF"/>
              </w:rPr>
              <w:t xml:space="preserve">and preservation </w:t>
            </w:r>
            <w:r w:rsidRPr="000D2474">
              <w:rPr>
                <w:rFonts w:asciiTheme="minorHAnsi" w:hAnsiTheme="minorHAnsi" w:cstheme="minorHAnsi"/>
                <w:color w:val="000000"/>
                <w:sz w:val="22"/>
                <w:szCs w:val="22"/>
                <w:shd w:val="clear" w:color="auto" w:fill="FFFFFF"/>
              </w:rPr>
              <w:t xml:space="preserve">of the capital raised by the SPAC on listing. </w:t>
            </w:r>
          </w:p>
          <w:p w14:paraId="633B36D5"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71B36D68"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BC3E42">
              <w:rPr>
                <w:rFonts w:asciiTheme="minorHAnsi" w:hAnsiTheme="minorHAnsi" w:cstheme="minorHAnsi"/>
                <w:color w:val="111111"/>
                <w:spacing w:val="1"/>
                <w:sz w:val="22"/>
                <w:szCs w:val="22"/>
                <w:shd w:val="clear" w:color="auto" w:fill="FFFFFF"/>
              </w:rPr>
              <w:t>Escrow is a legal concept describing a financial agreement whereby an asset or money is held by a third party on behalf of two other parties that are in the process of completing a transaction.</w:t>
            </w:r>
            <w:r w:rsidRPr="00BC3E42">
              <w:rPr>
                <w:rFonts w:asciiTheme="minorHAnsi" w:hAnsiTheme="minorHAnsi" w:cstheme="minorHAnsi"/>
                <w:color w:val="000000"/>
                <w:sz w:val="22"/>
                <w:szCs w:val="22"/>
                <w:shd w:val="clear" w:color="auto" w:fill="FFFFFF"/>
              </w:rPr>
              <w:t xml:space="preserve"> </w:t>
            </w:r>
          </w:p>
          <w:p w14:paraId="0B791B6E"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401E0D1F" w14:textId="77777777" w:rsidR="009A6B7D" w:rsidRPr="00BC3E42"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w:t>
            </w:r>
            <w:r w:rsidRPr="00834FA4">
              <w:rPr>
                <w:rFonts w:asciiTheme="minorHAnsi" w:hAnsiTheme="minorHAnsi" w:cstheme="minorHAnsi"/>
                <w:color w:val="000000"/>
                <w:sz w:val="22"/>
                <w:szCs w:val="22"/>
                <w:shd w:val="clear" w:color="auto" w:fill="FFFFFF"/>
              </w:rPr>
              <w:t xml:space="preserve">he JSE intends to amend the Requirements to </w:t>
            </w:r>
            <w:r>
              <w:rPr>
                <w:rFonts w:asciiTheme="minorHAnsi" w:hAnsiTheme="minorHAnsi" w:cstheme="minorHAnsi"/>
                <w:color w:val="000000"/>
                <w:sz w:val="22"/>
                <w:szCs w:val="22"/>
                <w:shd w:val="clear" w:color="auto" w:fill="FFFFFF"/>
              </w:rPr>
              <w:t>expand the meaning of “</w:t>
            </w:r>
            <w:r w:rsidRPr="0036173E">
              <w:rPr>
                <w:rFonts w:asciiTheme="minorHAnsi" w:hAnsiTheme="minorHAnsi" w:cstheme="minorHAnsi"/>
                <w:i/>
                <w:iCs/>
                <w:color w:val="000000"/>
                <w:sz w:val="22"/>
                <w:szCs w:val="22"/>
                <w:shd w:val="clear" w:color="auto" w:fill="FFFFFF"/>
              </w:rPr>
              <w:t>escrow</w:t>
            </w:r>
            <w:r>
              <w:rPr>
                <w:rFonts w:asciiTheme="minorHAnsi" w:hAnsiTheme="minorHAnsi" w:cstheme="minorHAnsi"/>
                <w:color w:val="000000"/>
                <w:sz w:val="22"/>
                <w:szCs w:val="22"/>
                <w:shd w:val="clear" w:color="auto" w:fill="FFFFFF"/>
              </w:rPr>
              <w:t xml:space="preserve">” to </w:t>
            </w:r>
            <w:r w:rsidRPr="00834FA4">
              <w:rPr>
                <w:rFonts w:asciiTheme="minorHAnsi" w:hAnsiTheme="minorHAnsi" w:cstheme="minorHAnsi"/>
                <w:color w:val="000000"/>
                <w:sz w:val="22"/>
                <w:szCs w:val="22"/>
                <w:shd w:val="clear" w:color="auto" w:fill="FFFFFF"/>
              </w:rPr>
              <w:t>afford more</w:t>
            </w:r>
            <w:r>
              <w:rPr>
                <w:rFonts w:asciiTheme="minorHAnsi" w:hAnsiTheme="minorHAnsi" w:cstheme="minorHAnsi"/>
                <w:color w:val="000000"/>
                <w:sz w:val="22"/>
                <w:szCs w:val="22"/>
                <w:shd w:val="clear" w:color="auto" w:fill="FFFFFF"/>
              </w:rPr>
              <w:t xml:space="preserve"> flexibility to SPAC issuers, to allow them to (in addition to the current escrow arrangements) keep capital raised in another manner, to the satisfaction of the JSE, that provides sufficient safeguards for the protection of investors </w:t>
            </w:r>
          </w:p>
          <w:p w14:paraId="5BEA4703" w14:textId="77777777" w:rsidR="009A6B7D" w:rsidRDefault="009A6B7D" w:rsidP="00C37316">
            <w:pPr>
              <w:jc w:val="both"/>
              <w:rPr>
                <w:rFonts w:cstheme="minorHAnsi"/>
                <w:b/>
                <w:bCs/>
              </w:rPr>
            </w:pPr>
          </w:p>
          <w:p w14:paraId="45B31562" w14:textId="77777777" w:rsidR="009A6B7D" w:rsidRPr="00834FA4" w:rsidRDefault="009A6B7D" w:rsidP="00C37316">
            <w:pPr>
              <w:jc w:val="both"/>
              <w:rPr>
                <w:rFonts w:cstheme="minorHAnsi"/>
                <w:b/>
                <w:bCs/>
              </w:rPr>
            </w:pPr>
          </w:p>
        </w:tc>
        <w:tc>
          <w:tcPr>
            <w:tcW w:w="4732" w:type="dxa"/>
          </w:tcPr>
          <w:p w14:paraId="02481B89" w14:textId="77777777" w:rsidR="009A6B7D" w:rsidRDefault="009A6B7D" w:rsidP="00C37316">
            <w:pPr>
              <w:jc w:val="both"/>
              <w:rPr>
                <w:rFonts w:cstheme="minorHAnsi"/>
              </w:rPr>
            </w:pPr>
            <w:r>
              <w:rPr>
                <w:rFonts w:cstheme="minorHAnsi"/>
              </w:rPr>
              <w:t xml:space="preserve">Escrow is not a very familiar concept in South Africa and often used on a temporary basis pending the conclusion of a transaction, the most common being property transactions. </w:t>
            </w:r>
          </w:p>
          <w:p w14:paraId="2354FC76" w14:textId="77777777" w:rsidR="009A6B7D" w:rsidRDefault="009A6B7D" w:rsidP="00C37316">
            <w:pPr>
              <w:jc w:val="both"/>
              <w:rPr>
                <w:rFonts w:cstheme="minorHAnsi"/>
              </w:rPr>
            </w:pPr>
          </w:p>
          <w:p w14:paraId="0E65FC5C" w14:textId="77777777" w:rsidR="009A6B7D" w:rsidRDefault="009A6B7D" w:rsidP="00C37316">
            <w:pPr>
              <w:jc w:val="both"/>
              <w:rPr>
                <w:rFonts w:cstheme="minorHAnsi"/>
              </w:rPr>
            </w:pPr>
            <w:r>
              <w:rPr>
                <w:rFonts w:cstheme="minorHAnsi"/>
              </w:rPr>
              <w:t>The safe keeping of capital for a period of up to three years can be arranged through a custodial process other than “</w:t>
            </w:r>
            <w:r w:rsidRPr="00BB64AB">
              <w:rPr>
                <w:rFonts w:cstheme="minorHAnsi"/>
                <w:i/>
                <w:iCs/>
              </w:rPr>
              <w:t>escrow</w:t>
            </w:r>
            <w:r>
              <w:rPr>
                <w:rFonts w:cstheme="minorHAnsi"/>
              </w:rPr>
              <w:t xml:space="preserve">”, </w:t>
            </w:r>
            <w:r>
              <w:rPr>
                <w:rFonts w:cstheme="minorHAnsi"/>
                <w:color w:val="000000"/>
                <w:shd w:val="clear" w:color="auto" w:fill="FFFFFF"/>
              </w:rPr>
              <w:t>provided there are sufficient safeguards for the protection of investors</w:t>
            </w:r>
            <w:r>
              <w:rPr>
                <w:rFonts w:cstheme="minorHAnsi"/>
              </w:rPr>
              <w:t>.</w:t>
            </w:r>
          </w:p>
          <w:p w14:paraId="798F1675" w14:textId="77777777" w:rsidR="009A6B7D" w:rsidRDefault="009A6B7D" w:rsidP="00C37316">
            <w:pPr>
              <w:jc w:val="both"/>
              <w:rPr>
                <w:rFonts w:cstheme="minorHAnsi"/>
              </w:rPr>
            </w:pPr>
          </w:p>
          <w:p w14:paraId="015D79D3" w14:textId="77777777" w:rsidR="009A6B7D" w:rsidRPr="00834FA4" w:rsidRDefault="009A6B7D" w:rsidP="00C37316">
            <w:pPr>
              <w:jc w:val="both"/>
              <w:rPr>
                <w:rFonts w:cstheme="minorHAnsi"/>
              </w:rPr>
            </w:pPr>
            <w:r>
              <w:rPr>
                <w:rFonts w:cstheme="minorHAnsi"/>
              </w:rPr>
              <w:t>This amendment will allow a SPAC to undertake a far more cost-effective approach to safeguarding the capital raised by the SPAC.</w:t>
            </w:r>
          </w:p>
        </w:tc>
      </w:tr>
      <w:tr w:rsidR="009A6B7D" w:rsidRPr="00834FA4" w14:paraId="15CEA77D" w14:textId="77777777" w:rsidTr="00C37316">
        <w:tc>
          <w:tcPr>
            <w:tcW w:w="853" w:type="dxa"/>
          </w:tcPr>
          <w:p w14:paraId="6775ACAA" w14:textId="77777777" w:rsidR="009A6B7D" w:rsidRPr="00834FA4" w:rsidRDefault="009A6B7D" w:rsidP="00C37316">
            <w:pPr>
              <w:jc w:val="both"/>
              <w:rPr>
                <w:rFonts w:cstheme="minorHAnsi"/>
                <w:b/>
              </w:rPr>
            </w:pPr>
          </w:p>
        </w:tc>
        <w:tc>
          <w:tcPr>
            <w:tcW w:w="1552" w:type="dxa"/>
          </w:tcPr>
          <w:p w14:paraId="286DD7B1" w14:textId="77777777" w:rsidR="009A6B7D" w:rsidRPr="00834FA4" w:rsidRDefault="009A6B7D" w:rsidP="00C37316">
            <w:pPr>
              <w:jc w:val="both"/>
              <w:rPr>
                <w:rFonts w:cstheme="minorHAnsi"/>
                <w:b/>
                <w:bCs/>
              </w:rPr>
            </w:pPr>
          </w:p>
        </w:tc>
        <w:tc>
          <w:tcPr>
            <w:tcW w:w="6039" w:type="dxa"/>
          </w:tcPr>
          <w:p w14:paraId="18F8644A" w14:textId="77777777" w:rsidR="009A6B7D" w:rsidRPr="00834FA4" w:rsidRDefault="009A6B7D" w:rsidP="00C37316">
            <w:pPr>
              <w:jc w:val="both"/>
              <w:rPr>
                <w:rFonts w:cstheme="minorHAnsi"/>
              </w:rPr>
            </w:pPr>
          </w:p>
        </w:tc>
        <w:tc>
          <w:tcPr>
            <w:tcW w:w="4732" w:type="dxa"/>
          </w:tcPr>
          <w:p w14:paraId="0C2C2D33" w14:textId="77777777" w:rsidR="009A6B7D" w:rsidRPr="00834FA4" w:rsidRDefault="009A6B7D" w:rsidP="00C37316">
            <w:pPr>
              <w:jc w:val="both"/>
              <w:rPr>
                <w:rFonts w:cstheme="minorHAnsi"/>
              </w:rPr>
            </w:pPr>
          </w:p>
        </w:tc>
      </w:tr>
      <w:tr w:rsidR="009A6B7D" w:rsidRPr="00834FA4" w14:paraId="23BAD160" w14:textId="77777777" w:rsidTr="00C37316">
        <w:tc>
          <w:tcPr>
            <w:tcW w:w="853" w:type="dxa"/>
          </w:tcPr>
          <w:p w14:paraId="33FC3576" w14:textId="77777777" w:rsidR="009A6B7D" w:rsidRPr="00834FA4" w:rsidRDefault="009A6B7D" w:rsidP="00C37316">
            <w:pPr>
              <w:jc w:val="both"/>
              <w:rPr>
                <w:rFonts w:cstheme="minorHAnsi"/>
                <w:b/>
              </w:rPr>
            </w:pPr>
            <w:r>
              <w:rPr>
                <w:rFonts w:cstheme="minorHAnsi"/>
                <w:b/>
              </w:rPr>
              <w:lastRenderedPageBreak/>
              <w:t>9</w:t>
            </w:r>
          </w:p>
        </w:tc>
        <w:tc>
          <w:tcPr>
            <w:tcW w:w="1552" w:type="dxa"/>
          </w:tcPr>
          <w:p w14:paraId="6D9BBB8B" w14:textId="77777777" w:rsidR="009A6B7D" w:rsidRPr="00834FA4" w:rsidRDefault="009A6B7D" w:rsidP="00C37316">
            <w:pPr>
              <w:jc w:val="both"/>
              <w:rPr>
                <w:rFonts w:cstheme="minorHAnsi"/>
                <w:b/>
                <w:bCs/>
              </w:rPr>
            </w:pPr>
            <w:r w:rsidRPr="00834FA4">
              <w:rPr>
                <w:rFonts w:cstheme="minorHAnsi"/>
                <w:b/>
                <w:bCs/>
              </w:rPr>
              <w:t>Section 4: Conditions of Listing</w:t>
            </w:r>
          </w:p>
        </w:tc>
        <w:tc>
          <w:tcPr>
            <w:tcW w:w="6039" w:type="dxa"/>
          </w:tcPr>
          <w:p w14:paraId="0A76AEDF" w14:textId="77777777" w:rsidR="009A6B7D" w:rsidRPr="00834FA4" w:rsidRDefault="009A6B7D" w:rsidP="00C37316">
            <w:pPr>
              <w:jc w:val="both"/>
              <w:rPr>
                <w:rStyle w:val="Strong"/>
                <w:rFonts w:cstheme="minorHAnsi"/>
                <w:bdr w:val="none" w:sz="0" w:space="0" w:color="auto" w:frame="1"/>
              </w:rPr>
            </w:pPr>
            <w:r>
              <w:rPr>
                <w:rStyle w:val="Strong"/>
                <w:rFonts w:cstheme="minorHAnsi"/>
                <w:bdr w:val="none" w:sz="0" w:space="0" w:color="auto" w:frame="1"/>
              </w:rPr>
              <w:t>Acquisition</w:t>
            </w:r>
            <w:r>
              <w:rPr>
                <w:rStyle w:val="Strong"/>
                <w:bdr w:val="none" w:sz="0" w:space="0" w:color="auto" w:frame="1"/>
              </w:rPr>
              <w:t xml:space="preserve"> </w:t>
            </w:r>
            <w:r w:rsidRPr="00834FA4">
              <w:rPr>
                <w:rStyle w:val="Strong"/>
                <w:rFonts w:cstheme="minorHAnsi"/>
                <w:bdr w:val="none" w:sz="0" w:space="0" w:color="auto" w:frame="1"/>
              </w:rPr>
              <w:t>Circular to Shareholders</w:t>
            </w:r>
          </w:p>
          <w:p w14:paraId="061F5FBB" w14:textId="77777777" w:rsidR="009A6B7D" w:rsidRPr="00834FA4" w:rsidRDefault="009A6B7D" w:rsidP="00C37316">
            <w:pPr>
              <w:jc w:val="both"/>
              <w:rPr>
                <w:rFonts w:cstheme="minorHAnsi"/>
                <w:b/>
              </w:rPr>
            </w:pPr>
            <w:r w:rsidRPr="00834FA4">
              <w:rPr>
                <w:rFonts w:cstheme="minorHAnsi"/>
                <w:b/>
              </w:rPr>
              <w:t>New paragraph</w:t>
            </w:r>
            <w:r>
              <w:rPr>
                <w:rFonts w:cstheme="minorHAnsi"/>
                <w:b/>
              </w:rPr>
              <w:t>s</w:t>
            </w:r>
            <w:r w:rsidRPr="00834FA4">
              <w:rPr>
                <w:rFonts w:cstheme="minorHAnsi"/>
                <w:b/>
              </w:rPr>
              <w:t xml:space="preserve"> 4.41</w:t>
            </w:r>
            <w:r>
              <w:rPr>
                <w:rFonts w:cstheme="minorHAnsi"/>
                <w:b/>
              </w:rPr>
              <w:t xml:space="preserve"> and 4.42</w:t>
            </w:r>
          </w:p>
          <w:p w14:paraId="7CA83DAE" w14:textId="77777777" w:rsidR="009A6B7D" w:rsidRPr="00834FA4" w:rsidRDefault="009A6B7D" w:rsidP="00C37316">
            <w:pPr>
              <w:jc w:val="both"/>
              <w:rPr>
                <w:rFonts w:cstheme="minorHAnsi"/>
              </w:rPr>
            </w:pPr>
          </w:p>
          <w:p w14:paraId="5D53379E"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834FA4">
              <w:rPr>
                <w:rFonts w:asciiTheme="minorHAnsi" w:hAnsiTheme="minorHAnsi" w:cstheme="minorHAnsi"/>
                <w:color w:val="000000"/>
                <w:sz w:val="22"/>
                <w:szCs w:val="22"/>
                <w:shd w:val="clear" w:color="auto" w:fill="FFFFFF"/>
              </w:rPr>
              <w:t xml:space="preserve">In support of the proposed amendments on disclosure and transparency in relation to conflicts of interests, the JSE intends to amend the Requirements to afford more bespoke disclosure in the circular to shareholders on the acquisition of viable assets. </w:t>
            </w:r>
          </w:p>
          <w:p w14:paraId="5C898888"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2347A4F8"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amendments also incorporate the relevant matters in the JSE Guidance Letter on SPACs, dated 13 June 2017 dealing with the nature and scope of the acquisition circular. </w:t>
            </w:r>
          </w:p>
          <w:p w14:paraId="0E909696" w14:textId="77777777" w:rsidR="009A6B7D"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5BEDBFD3"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The Guidance Letter is hereby withdrawn.</w:t>
            </w:r>
          </w:p>
          <w:p w14:paraId="4AE4D87E" w14:textId="77777777" w:rsidR="009A6B7D" w:rsidRPr="00834FA4" w:rsidRDefault="009A6B7D" w:rsidP="00C37316">
            <w:pPr>
              <w:pStyle w:val="NormalWeb"/>
              <w:shd w:val="clear" w:color="auto" w:fill="FFFFFF"/>
              <w:spacing w:before="0" w:beforeAutospacing="0" w:after="0" w:afterAutospacing="0"/>
              <w:jc w:val="both"/>
              <w:textAlignment w:val="baseline"/>
              <w:rPr>
                <w:rFonts w:asciiTheme="minorHAnsi" w:hAnsiTheme="minorHAnsi" w:cstheme="minorHAnsi"/>
                <w:b/>
                <w:i/>
                <w:color w:val="FF0000"/>
                <w:sz w:val="22"/>
                <w:szCs w:val="22"/>
              </w:rPr>
            </w:pPr>
          </w:p>
        </w:tc>
        <w:tc>
          <w:tcPr>
            <w:tcW w:w="4732" w:type="dxa"/>
          </w:tcPr>
          <w:p w14:paraId="4852479E" w14:textId="77777777" w:rsidR="009A6B7D" w:rsidRPr="00E571BB" w:rsidRDefault="009A6B7D" w:rsidP="00C37316">
            <w:pPr>
              <w:jc w:val="both"/>
              <w:rPr>
                <w:rFonts w:cstheme="minorHAnsi"/>
              </w:rPr>
            </w:pPr>
            <w:r w:rsidRPr="00E571BB">
              <w:rPr>
                <w:rFonts w:cstheme="minorHAnsi"/>
              </w:rPr>
              <w:t>The amendments aim to address t</w:t>
            </w:r>
            <w:r>
              <w:rPr>
                <w:rFonts w:cstheme="minorHAnsi"/>
              </w:rPr>
              <w:t>w</w:t>
            </w:r>
            <w:r w:rsidRPr="00E571BB">
              <w:rPr>
                <w:rFonts w:cstheme="minorHAnsi"/>
              </w:rPr>
              <w:t>o objectives:</w:t>
            </w:r>
          </w:p>
          <w:p w14:paraId="17925D2E" w14:textId="77777777" w:rsidR="009A6B7D" w:rsidRPr="00E571BB" w:rsidRDefault="009A6B7D" w:rsidP="00C37316">
            <w:pPr>
              <w:jc w:val="both"/>
              <w:rPr>
                <w:rFonts w:cstheme="minorHAnsi"/>
              </w:rPr>
            </w:pPr>
          </w:p>
          <w:p w14:paraId="650D6CF3" w14:textId="77777777" w:rsidR="009A6B7D" w:rsidRPr="00E571BB" w:rsidRDefault="009A6B7D" w:rsidP="009A6B7D">
            <w:pPr>
              <w:pStyle w:val="ListParagraph"/>
              <w:numPr>
                <w:ilvl w:val="0"/>
                <w:numId w:val="13"/>
              </w:numPr>
              <w:spacing w:line="240" w:lineRule="auto"/>
              <w:jc w:val="both"/>
              <w:rPr>
                <w:rFonts w:asciiTheme="minorHAnsi" w:hAnsiTheme="minorHAnsi" w:cstheme="minorHAnsi"/>
                <w:sz w:val="22"/>
                <w:szCs w:val="22"/>
              </w:rPr>
            </w:pPr>
            <w:r w:rsidRPr="00E571BB">
              <w:rPr>
                <w:rFonts w:asciiTheme="minorHAnsi" w:hAnsiTheme="minorHAnsi" w:cstheme="minorHAnsi"/>
                <w:sz w:val="22"/>
                <w:szCs w:val="22"/>
              </w:rPr>
              <w:t>Incorporation of the re</w:t>
            </w:r>
            <w:r>
              <w:rPr>
                <w:rFonts w:asciiTheme="minorHAnsi" w:hAnsiTheme="minorHAnsi" w:cstheme="minorHAnsi"/>
                <w:sz w:val="22"/>
                <w:szCs w:val="22"/>
              </w:rPr>
              <w:t>levant</w:t>
            </w:r>
            <w:r w:rsidRPr="00E571BB">
              <w:rPr>
                <w:rFonts w:asciiTheme="minorHAnsi" w:hAnsiTheme="minorHAnsi" w:cstheme="minorHAnsi"/>
                <w:sz w:val="22"/>
                <w:szCs w:val="22"/>
              </w:rPr>
              <w:t xml:space="preserve"> matters in the guidance letter</w:t>
            </w:r>
            <w:r>
              <w:rPr>
                <w:rFonts w:asciiTheme="minorHAnsi" w:hAnsiTheme="minorHAnsi" w:cstheme="minorHAnsi"/>
                <w:sz w:val="22"/>
                <w:szCs w:val="22"/>
              </w:rPr>
              <w:t>; and</w:t>
            </w:r>
          </w:p>
          <w:p w14:paraId="4F198BCE" w14:textId="77777777" w:rsidR="009A6B7D" w:rsidRPr="00E571BB" w:rsidRDefault="009A6B7D" w:rsidP="009A6B7D">
            <w:pPr>
              <w:pStyle w:val="ListParagraph"/>
              <w:numPr>
                <w:ilvl w:val="0"/>
                <w:numId w:val="13"/>
              </w:numPr>
              <w:spacing w:line="240" w:lineRule="auto"/>
              <w:jc w:val="both"/>
              <w:rPr>
                <w:rFonts w:asciiTheme="minorHAnsi" w:hAnsiTheme="minorHAnsi" w:cstheme="minorHAnsi"/>
                <w:sz w:val="22"/>
                <w:szCs w:val="22"/>
              </w:rPr>
            </w:pPr>
            <w:r w:rsidRPr="00E571BB">
              <w:rPr>
                <w:rFonts w:asciiTheme="minorHAnsi" w:hAnsiTheme="minorHAnsi" w:cstheme="minorHAnsi"/>
                <w:sz w:val="22"/>
                <w:szCs w:val="22"/>
              </w:rPr>
              <w:t xml:space="preserve">provide more transparency on the thought process and procedures of the board of directors of the SPAC to pursue and conclude the acquisition of the viable assets. </w:t>
            </w:r>
          </w:p>
          <w:p w14:paraId="22153C66" w14:textId="77777777" w:rsidR="009A6B7D" w:rsidRPr="00834FA4" w:rsidRDefault="009A6B7D" w:rsidP="00C37316">
            <w:pPr>
              <w:jc w:val="both"/>
              <w:rPr>
                <w:rFonts w:cstheme="minorHAnsi"/>
              </w:rPr>
            </w:pPr>
          </w:p>
        </w:tc>
      </w:tr>
    </w:tbl>
    <w:p w14:paraId="50FF0BD1" w14:textId="77777777" w:rsidR="009A6B7D" w:rsidRPr="00834FA4" w:rsidRDefault="009A6B7D" w:rsidP="009A6B7D">
      <w:pPr>
        <w:jc w:val="center"/>
        <w:rPr>
          <w:rFonts w:cstheme="minorHAnsi"/>
        </w:rPr>
      </w:pPr>
    </w:p>
    <w:p w14:paraId="637536C0" w14:textId="77777777" w:rsidR="009A6B7D" w:rsidRDefault="009A6B7D" w:rsidP="009A6B7D">
      <w:pPr>
        <w:tabs>
          <w:tab w:val="left" w:pos="2768"/>
        </w:tabs>
        <w:rPr>
          <w:rFonts w:cstheme="minorHAnsi"/>
          <w:lang w:val="en-ZA"/>
        </w:rPr>
      </w:pPr>
    </w:p>
    <w:p w14:paraId="22C25E2F" w14:textId="77777777" w:rsidR="009A6B7D" w:rsidRPr="00A04F64" w:rsidRDefault="009A6B7D" w:rsidP="009A6B7D">
      <w:pPr>
        <w:tabs>
          <w:tab w:val="left" w:pos="2768"/>
        </w:tabs>
        <w:jc w:val="center"/>
        <w:rPr>
          <w:rFonts w:cstheme="minorHAnsi"/>
          <w:b/>
          <w:bCs/>
          <w:lang w:val="en-ZA"/>
        </w:rPr>
      </w:pPr>
      <w:r w:rsidRPr="00A04F64">
        <w:rPr>
          <w:rFonts w:cstheme="minorHAnsi"/>
          <w:b/>
          <w:bCs/>
          <w:lang w:val="en-ZA"/>
        </w:rPr>
        <w:t>~ END ~</w:t>
      </w:r>
    </w:p>
    <w:p w14:paraId="07F486B2" w14:textId="28747B32" w:rsidR="0030584A" w:rsidRPr="00A04F64" w:rsidRDefault="0030584A" w:rsidP="005E5F33">
      <w:pPr>
        <w:spacing w:line="240" w:lineRule="auto"/>
        <w:jc w:val="both"/>
        <w:rPr>
          <w:rFonts w:cstheme="minorHAnsi"/>
          <w:b/>
          <w:bCs/>
          <w:lang w:val="en-ZA"/>
        </w:rPr>
      </w:pPr>
    </w:p>
    <w:sectPr w:rsidR="0030584A" w:rsidRPr="00A04F64" w:rsidSect="00C34594">
      <w:headerReference w:type="default" r:id="rId15"/>
      <w:footerReference w:type="default" r:id="rId16"/>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213C" w14:textId="77777777" w:rsidR="00ED4CF0" w:rsidRDefault="00ED4CF0" w:rsidP="000975C5">
      <w:pPr>
        <w:spacing w:after="0" w:line="240" w:lineRule="auto"/>
      </w:pPr>
      <w:r>
        <w:separator/>
      </w:r>
    </w:p>
  </w:endnote>
  <w:endnote w:type="continuationSeparator" w:id="0">
    <w:p w14:paraId="0EDF803C" w14:textId="77777777" w:rsidR="00ED4CF0" w:rsidRDefault="00ED4CF0" w:rsidP="000975C5">
      <w:pPr>
        <w:spacing w:after="0" w:line="240" w:lineRule="auto"/>
      </w:pPr>
      <w:r>
        <w:continuationSeparator/>
      </w:r>
    </w:p>
  </w:endnote>
  <w:endnote w:type="continuationNotice" w:id="1">
    <w:p w14:paraId="57BBCD4D" w14:textId="77777777" w:rsidR="00ED4CF0" w:rsidRDefault="00ED4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78778"/>
      <w:docPartObj>
        <w:docPartGallery w:val="Page Numbers (Bottom of Page)"/>
        <w:docPartUnique/>
      </w:docPartObj>
    </w:sdtPr>
    <w:sdtEndPr>
      <w:rPr>
        <w:noProof/>
      </w:rPr>
    </w:sdtEndPr>
    <w:sdtContent>
      <w:p w14:paraId="5FE8D911" w14:textId="2E3737B3" w:rsidR="00400E3E" w:rsidRDefault="00400E3E">
        <w:pPr>
          <w:pStyle w:val="Footer"/>
          <w:jc w:val="right"/>
        </w:pPr>
        <w:r>
          <w:fldChar w:fldCharType="begin"/>
        </w:r>
        <w:r>
          <w:instrText xml:space="preserve"> PAGE   \* MERGEFORMAT </w:instrText>
        </w:r>
        <w:r>
          <w:fldChar w:fldCharType="separate"/>
        </w:r>
        <w:r w:rsidR="008C5230">
          <w:rPr>
            <w:noProof/>
          </w:rPr>
          <w:t>8</w:t>
        </w:r>
        <w:r>
          <w:rPr>
            <w:noProof/>
          </w:rPr>
          <w:fldChar w:fldCharType="end"/>
        </w:r>
      </w:p>
    </w:sdtContent>
  </w:sdt>
  <w:p w14:paraId="02DC3AF2" w14:textId="77777777" w:rsidR="00400E3E" w:rsidRDefault="0040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0849" w14:textId="77777777" w:rsidR="00ED4CF0" w:rsidRDefault="00ED4CF0" w:rsidP="000975C5">
      <w:pPr>
        <w:spacing w:after="0" w:line="240" w:lineRule="auto"/>
      </w:pPr>
      <w:r>
        <w:separator/>
      </w:r>
    </w:p>
  </w:footnote>
  <w:footnote w:type="continuationSeparator" w:id="0">
    <w:p w14:paraId="2075AFE3" w14:textId="77777777" w:rsidR="00ED4CF0" w:rsidRDefault="00ED4CF0" w:rsidP="000975C5">
      <w:pPr>
        <w:spacing w:after="0" w:line="240" w:lineRule="auto"/>
      </w:pPr>
      <w:r>
        <w:continuationSeparator/>
      </w:r>
    </w:p>
  </w:footnote>
  <w:footnote w:type="continuationNotice" w:id="1">
    <w:p w14:paraId="5C14B864" w14:textId="77777777" w:rsidR="00ED4CF0" w:rsidRDefault="00ED4CF0">
      <w:pPr>
        <w:spacing w:after="0" w:line="240" w:lineRule="auto"/>
      </w:pPr>
    </w:p>
  </w:footnote>
  <w:footnote w:id="2">
    <w:p w14:paraId="4B22EF89" w14:textId="77777777" w:rsidR="00094F1D" w:rsidRPr="00F77C82" w:rsidRDefault="00094F1D" w:rsidP="00094F1D">
      <w:pPr>
        <w:pStyle w:val="FootnoteText"/>
      </w:pPr>
      <w:r w:rsidRPr="00F77C82">
        <w:rPr>
          <w:rStyle w:val="FootnoteReference"/>
        </w:rPr>
        <w:footnoteRef/>
      </w:r>
      <w:r w:rsidRPr="00F77C82">
        <w:t xml:space="preserve"> </w:t>
      </w:r>
      <w:hyperlink r:id="rId1" w:history="1">
        <w:r w:rsidRPr="00F77C82">
          <w:rPr>
            <w:rStyle w:val="Hyperlink"/>
          </w:rPr>
          <w:t>https://www.lsegissuerservices.com/spark/new-rules-for-the-lse-main-market</w:t>
        </w:r>
      </w:hyperlink>
      <w:r w:rsidRPr="00F77C82">
        <w:rPr>
          <w:rStyle w:val="Hyperlink"/>
        </w:rPr>
        <w:t>.</w:t>
      </w:r>
    </w:p>
    <w:p w14:paraId="164C3DE7" w14:textId="77777777" w:rsidR="00094F1D" w:rsidRPr="00F77C82" w:rsidRDefault="00094F1D" w:rsidP="00094F1D">
      <w:pPr>
        <w:pStyle w:val="FootnoteText"/>
        <w:rPr>
          <w:lang w:val="en-US"/>
        </w:rPr>
      </w:pPr>
    </w:p>
  </w:footnote>
  <w:footnote w:id="3">
    <w:p w14:paraId="72C452AA" w14:textId="77777777" w:rsidR="002F1E36" w:rsidRPr="008453B1" w:rsidRDefault="002F1E36" w:rsidP="002F1E36">
      <w:pPr>
        <w:pStyle w:val="FootnoteText"/>
        <w:rPr>
          <w:sz w:val="16"/>
          <w:szCs w:val="16"/>
          <w:lang w:val="en-US"/>
        </w:rPr>
      </w:pPr>
      <w:r w:rsidRPr="008453B1">
        <w:rPr>
          <w:rStyle w:val="FootnoteReference"/>
          <w:sz w:val="16"/>
          <w:szCs w:val="16"/>
        </w:rPr>
        <w:footnoteRef/>
      </w:r>
      <w:r w:rsidRPr="008453B1">
        <w:rPr>
          <w:sz w:val="16"/>
          <w:szCs w:val="16"/>
        </w:rPr>
        <w:t xml:space="preserve"> </w:t>
      </w:r>
      <w:hyperlink r:id="rId2" w:history="1">
        <w:r w:rsidRPr="008453B1">
          <w:rPr>
            <w:rStyle w:val="Hyperlink"/>
            <w:sz w:val="16"/>
            <w:szCs w:val="16"/>
          </w:rPr>
          <w:t>https://www.jse.co.za/sites/default/files/media/documents//JSE%20Response%20Paper%20Aug%202022.pdf</w:t>
        </w:r>
      </w:hyperlink>
      <w:r w:rsidRPr="008453B1">
        <w:rPr>
          <w:sz w:val="16"/>
          <w:szCs w:val="16"/>
        </w:rPr>
        <w:t xml:space="preserve"> at 11 and 12.</w:t>
      </w:r>
    </w:p>
  </w:footnote>
  <w:footnote w:id="4">
    <w:p w14:paraId="70A43725" w14:textId="77777777" w:rsidR="002F1E36" w:rsidRPr="008453B1" w:rsidRDefault="002F1E36" w:rsidP="002F1E36">
      <w:pPr>
        <w:pStyle w:val="FootnoteText"/>
        <w:rPr>
          <w:sz w:val="16"/>
          <w:szCs w:val="16"/>
          <w:lang w:val="en-US"/>
        </w:rPr>
      </w:pPr>
      <w:r w:rsidRPr="008453B1">
        <w:rPr>
          <w:rStyle w:val="FootnoteReference"/>
          <w:sz w:val="16"/>
          <w:szCs w:val="16"/>
        </w:rPr>
        <w:footnoteRef/>
      </w:r>
      <w:r w:rsidRPr="008453B1">
        <w:rPr>
          <w:sz w:val="16"/>
          <w:szCs w:val="16"/>
        </w:rPr>
        <w:t xml:space="preserve"> </w:t>
      </w:r>
      <w:hyperlink r:id="rId3" w:history="1">
        <w:r w:rsidRPr="008453B1">
          <w:rPr>
            <w:rStyle w:val="Hyperlink"/>
            <w:sz w:val="16"/>
            <w:szCs w:val="16"/>
          </w:rPr>
          <w:t>https://assets.publishing.service.gov.uk/government/uploads/system/uploads/attachment_data/file/966133/UK_Listing_Review_3_March.pdf</w:t>
        </w:r>
      </w:hyperlink>
      <w:r w:rsidRPr="008453B1">
        <w:rPr>
          <w:sz w:val="16"/>
          <w:szCs w:val="16"/>
        </w:rPr>
        <w:t xml:space="preserve"> at 24 and 25. </w:t>
      </w:r>
    </w:p>
  </w:footnote>
  <w:footnote w:id="5">
    <w:p w14:paraId="66E47C27" w14:textId="77777777" w:rsidR="002F1E36" w:rsidRPr="008453B1" w:rsidRDefault="002F1E36" w:rsidP="002F1E36">
      <w:pPr>
        <w:pStyle w:val="FootnoteText"/>
        <w:rPr>
          <w:sz w:val="16"/>
          <w:szCs w:val="16"/>
        </w:rPr>
      </w:pPr>
      <w:r w:rsidRPr="008453B1">
        <w:rPr>
          <w:rStyle w:val="FootnoteReference"/>
          <w:sz w:val="16"/>
          <w:szCs w:val="16"/>
        </w:rPr>
        <w:footnoteRef/>
      </w:r>
      <w:r w:rsidRPr="008453B1">
        <w:rPr>
          <w:sz w:val="16"/>
          <w:szCs w:val="16"/>
        </w:rPr>
        <w:t xml:space="preserve"> </w:t>
      </w:r>
      <w:hyperlink r:id="rId4" w:history="1">
        <w:r w:rsidRPr="008453B1">
          <w:rPr>
            <w:rStyle w:val="Hyperlink"/>
            <w:sz w:val="16"/>
            <w:szCs w:val="16"/>
          </w:rPr>
          <w:t>https://www.fca.org.uk/news/press-releases/fca-confirms-new-listing-rules-boost-growth-and-innovation</w:t>
        </w:r>
      </w:hyperlink>
    </w:p>
  </w:footnote>
  <w:footnote w:id="6">
    <w:p w14:paraId="667BCBCB" w14:textId="77777777" w:rsidR="002F1E36" w:rsidRPr="004405B3" w:rsidRDefault="002F1E36" w:rsidP="002F1E36">
      <w:pPr>
        <w:pStyle w:val="FootnoteText"/>
        <w:rPr>
          <w:lang w:val="en-US"/>
        </w:rPr>
      </w:pPr>
      <w:r w:rsidRPr="008453B1">
        <w:rPr>
          <w:rStyle w:val="FootnoteReference"/>
          <w:sz w:val="16"/>
          <w:szCs w:val="16"/>
        </w:rPr>
        <w:footnoteRef/>
      </w:r>
      <w:r w:rsidRPr="008453B1">
        <w:rPr>
          <w:sz w:val="16"/>
          <w:szCs w:val="16"/>
        </w:rPr>
        <w:t xml:space="preserve"> </w:t>
      </w:r>
      <w:hyperlink r:id="rId5" w:history="1">
        <w:r w:rsidRPr="008453B1">
          <w:rPr>
            <w:rStyle w:val="Hyperlink"/>
            <w:sz w:val="16"/>
            <w:szCs w:val="16"/>
          </w:rPr>
          <w:t>https://finance.ec.europa.eu/regulation-and-supervision/consultations/finance-2021-listing-act-targeted_en</w:t>
        </w:r>
      </w:hyperlink>
      <w:r>
        <w:t xml:space="preserve"> </w:t>
      </w:r>
    </w:p>
  </w:footnote>
  <w:footnote w:id="7">
    <w:p w14:paraId="195BBFC1" w14:textId="77777777" w:rsidR="0088069A" w:rsidRPr="00185625" w:rsidRDefault="0088069A" w:rsidP="0088069A">
      <w:pPr>
        <w:pStyle w:val="FootnoteText"/>
        <w:rPr>
          <w:lang w:val="en-US"/>
        </w:rPr>
      </w:pPr>
      <w:r w:rsidRPr="00185625">
        <w:rPr>
          <w:rStyle w:val="FootnoteReference"/>
        </w:rPr>
        <w:footnoteRef/>
      </w:r>
      <w:r w:rsidRPr="00185625">
        <w:t xml:space="preserve"> </w:t>
      </w:r>
      <w:r w:rsidRPr="00185625">
        <w:rPr>
          <w:lang w:val="en-US"/>
        </w:rPr>
        <w:t>Paragraph 4.25(f) of the JSE Listings Requirements.</w:t>
      </w:r>
    </w:p>
  </w:footnote>
  <w:footnote w:id="8">
    <w:p w14:paraId="6FD816D1" w14:textId="77777777" w:rsidR="0088069A" w:rsidRPr="00185625" w:rsidRDefault="0088069A" w:rsidP="0088069A">
      <w:pPr>
        <w:pStyle w:val="FootnoteText"/>
        <w:rPr>
          <w:lang w:val="en-US"/>
        </w:rPr>
      </w:pPr>
      <w:r w:rsidRPr="00185625">
        <w:rPr>
          <w:rStyle w:val="FootnoteReference"/>
        </w:rPr>
        <w:footnoteRef/>
      </w:r>
      <w:r w:rsidRPr="00185625">
        <w:t xml:space="preserve"> </w:t>
      </w:r>
      <w:r w:rsidRPr="00185625">
        <w:rPr>
          <w:lang w:val="en-US"/>
        </w:rPr>
        <w:t>Paragraph 4.26(a) of the JSE Listings Requirements.</w:t>
      </w:r>
    </w:p>
  </w:footnote>
  <w:footnote w:id="9">
    <w:p w14:paraId="086D6666" w14:textId="7E10621B" w:rsidR="00724BF7" w:rsidRPr="00185625" w:rsidRDefault="00502631">
      <w:pPr>
        <w:pStyle w:val="FootnoteText"/>
        <w:rPr>
          <w:lang w:val="en-US"/>
        </w:rPr>
      </w:pPr>
      <w:r w:rsidRPr="00185625">
        <w:rPr>
          <w:rStyle w:val="FootnoteReference"/>
        </w:rPr>
        <w:footnoteRef/>
      </w:r>
      <w:r w:rsidRPr="00185625">
        <w:t xml:space="preserve"> </w:t>
      </w:r>
      <w:r w:rsidRPr="00185625">
        <w:rPr>
          <w:lang w:val="en-US"/>
        </w:rPr>
        <w:t xml:space="preserve">FCA Handbook </w:t>
      </w:r>
      <w:r w:rsidR="009E43C7" w:rsidRPr="00185625">
        <w:rPr>
          <w:lang w:val="en-US"/>
        </w:rPr>
        <w:t>LR.6.14.4</w:t>
      </w:r>
      <w:r w:rsidR="00724BF7" w:rsidRPr="00185625">
        <w:rPr>
          <w:lang w:val="en-US"/>
        </w:rPr>
        <w:t xml:space="preserve"> </w:t>
      </w:r>
      <w:hyperlink r:id="rId6" w:history="1">
        <w:r w:rsidR="00724BF7" w:rsidRPr="00185625">
          <w:rPr>
            <w:rStyle w:val="Hyperlink"/>
            <w:lang w:val="en-US"/>
          </w:rPr>
          <w:t>https://www.handbook.fca.org.uk/handbook/LR/6/14.html</w:t>
        </w:r>
      </w:hyperlink>
    </w:p>
  </w:footnote>
  <w:footnote w:id="10">
    <w:p w14:paraId="19F020E7" w14:textId="4A4081D6" w:rsidR="00E4055F" w:rsidRPr="00185625" w:rsidRDefault="00E4055F">
      <w:pPr>
        <w:pStyle w:val="FootnoteText"/>
        <w:rPr>
          <w:lang w:val="en-US"/>
        </w:rPr>
      </w:pPr>
      <w:r w:rsidRPr="00185625">
        <w:rPr>
          <w:rStyle w:val="FootnoteReference"/>
        </w:rPr>
        <w:footnoteRef/>
      </w:r>
      <w:r w:rsidRPr="00185625">
        <w:t xml:space="preserve"> </w:t>
      </w:r>
      <w:r w:rsidRPr="00185625">
        <w:rPr>
          <w:lang w:val="en-US"/>
        </w:rPr>
        <w:t xml:space="preserve">Rule 723 </w:t>
      </w:r>
      <w:hyperlink r:id="rId7" w:history="1">
        <w:r w:rsidRPr="00185625">
          <w:rPr>
            <w:rStyle w:val="Hyperlink"/>
            <w:lang w:val="en-US"/>
          </w:rPr>
          <w:t>https://rulebook.sgx.com/rulebook/723-2</w:t>
        </w:r>
      </w:hyperlink>
    </w:p>
    <w:p w14:paraId="511CCFA7" w14:textId="77777777" w:rsidR="00E4055F" w:rsidRPr="00E4055F" w:rsidRDefault="00E4055F">
      <w:pPr>
        <w:pStyle w:val="FootnoteText"/>
        <w:rPr>
          <w:lang w:val="en-US"/>
        </w:rPr>
      </w:pPr>
    </w:p>
  </w:footnote>
  <w:footnote w:id="11">
    <w:p w14:paraId="00D07CB2" w14:textId="77777777" w:rsidR="00840406" w:rsidRPr="00A740E2" w:rsidRDefault="00840406" w:rsidP="00840406">
      <w:pPr>
        <w:pStyle w:val="FootnoteText"/>
      </w:pPr>
      <w:r>
        <w:rPr>
          <w:rStyle w:val="FootnoteReference"/>
        </w:rPr>
        <w:footnoteRef/>
      </w:r>
      <w:r>
        <w:t xml:space="preserve"> Definitions: </w:t>
      </w:r>
      <w:hyperlink r:id="rId8" w:history="1">
        <w:r w:rsidRPr="00EA0CBA">
          <w:rPr>
            <w:rStyle w:val="Hyperlink"/>
          </w:rPr>
          <w:t>https://rulebook.sgx.com/rulebook/definitions-and-interpretation-0</w:t>
        </w:r>
      </w:hyperlink>
    </w:p>
  </w:footnote>
  <w:footnote w:id="12">
    <w:p w14:paraId="7A0195A2" w14:textId="1FBD4A36" w:rsidR="00A740E2" w:rsidRPr="00A740E2" w:rsidRDefault="00A740E2">
      <w:pPr>
        <w:pStyle w:val="FootnoteText"/>
        <w:rPr>
          <w:lang w:val="en-US"/>
        </w:rPr>
      </w:pPr>
      <w:r>
        <w:rPr>
          <w:rStyle w:val="FootnoteReference"/>
        </w:rPr>
        <w:footnoteRef/>
      </w:r>
      <w:r>
        <w:t xml:space="preserve"> </w:t>
      </w:r>
      <w:r>
        <w:rPr>
          <w:lang w:val="en-US"/>
        </w:rPr>
        <w:t xml:space="preserve">Rule 8.08 </w:t>
      </w:r>
      <w:hyperlink r:id="rId9" w:history="1">
        <w:r w:rsidRPr="00EA0CBA">
          <w:rPr>
            <w:rStyle w:val="Hyperlink"/>
            <w:lang w:val="en-US"/>
          </w:rPr>
          <w:t>https://en-rules.hkex.com.hk/sites/default/files/net_file_store/HKEX4476_2301_VER18359.pdf</w:t>
        </w:r>
      </w:hyperlink>
    </w:p>
  </w:footnote>
  <w:footnote w:id="13">
    <w:p w14:paraId="72BACD8A" w14:textId="580903DB" w:rsidR="005C798E" w:rsidRPr="005C798E" w:rsidRDefault="005C798E">
      <w:pPr>
        <w:pStyle w:val="FootnoteText"/>
        <w:rPr>
          <w:lang w:val="en-US"/>
        </w:rPr>
      </w:pPr>
      <w:r>
        <w:rPr>
          <w:rStyle w:val="FootnoteReference"/>
        </w:rPr>
        <w:footnoteRef/>
      </w:r>
      <w:r>
        <w:t xml:space="preserve"> </w:t>
      </w:r>
      <w:r>
        <w:rPr>
          <w:lang w:val="en-US"/>
        </w:rPr>
        <w:t xml:space="preserve">Rule 8.24 </w:t>
      </w:r>
      <w:hyperlink r:id="rId10" w:history="1">
        <w:r w:rsidRPr="00EA0CBA">
          <w:rPr>
            <w:rStyle w:val="Hyperlink"/>
            <w:lang w:val="en-US"/>
          </w:rPr>
          <w:t>https://en-rules.hkex.com.hk/sites/default/files/net_file_store/HKEX4476_2301_VER18359.pdf</w:t>
        </w:r>
      </w:hyperlink>
    </w:p>
  </w:footnote>
  <w:footnote w:id="14">
    <w:p w14:paraId="5E9BE05C" w14:textId="5820FA2F" w:rsidR="00185625" w:rsidRPr="00AF5384" w:rsidRDefault="00570317">
      <w:pPr>
        <w:pStyle w:val="FootnoteText"/>
      </w:pPr>
      <w:r>
        <w:rPr>
          <w:rStyle w:val="FootnoteReference"/>
        </w:rPr>
        <w:footnoteRef/>
      </w:r>
      <w:r>
        <w:t xml:space="preserve"> Definitions: </w:t>
      </w:r>
      <w:hyperlink r:id="rId11" w:history="1">
        <w:r w:rsidR="00185625" w:rsidRPr="00EA0CBA">
          <w:rPr>
            <w:rStyle w:val="Hyperlink"/>
          </w:rPr>
          <w:t>https://en-rules.hkex.com.hk/sites/default/files/net_file_store/HKEX4476_1934_VER22605.pdf</w:t>
        </w:r>
      </w:hyperlink>
    </w:p>
  </w:footnote>
  <w:footnote w:id="15">
    <w:p w14:paraId="130BAB4A" w14:textId="039F2C5B" w:rsidR="00E36AC9" w:rsidRPr="00771BAF" w:rsidRDefault="00771BAF">
      <w:pPr>
        <w:pStyle w:val="FootnoteText"/>
        <w:rPr>
          <w:lang w:val="en-US"/>
        </w:rPr>
      </w:pPr>
      <w:r>
        <w:rPr>
          <w:rStyle w:val="FootnoteReference"/>
        </w:rPr>
        <w:footnoteRef/>
      </w:r>
      <w:r>
        <w:t xml:space="preserve"> </w:t>
      </w:r>
      <w:r>
        <w:rPr>
          <w:lang w:val="en-US"/>
        </w:rPr>
        <w:t xml:space="preserve">Condition 7 &amp; 8 </w:t>
      </w:r>
      <w:hyperlink r:id="rId12" w:history="1">
        <w:r w:rsidR="00E36AC9" w:rsidRPr="00EA0CBA">
          <w:rPr>
            <w:rStyle w:val="Hyperlink"/>
            <w:lang w:val="en-US"/>
          </w:rPr>
          <w:t>file:///C:/Users/AlwynF/Downloads/Chapter01.pdf</w:t>
        </w:r>
      </w:hyperlink>
    </w:p>
  </w:footnote>
  <w:footnote w:id="16">
    <w:p w14:paraId="74ACD33D" w14:textId="4C24804C" w:rsidR="004A281B" w:rsidRPr="00A32473" w:rsidRDefault="00A32473">
      <w:pPr>
        <w:pStyle w:val="FootnoteText"/>
        <w:rPr>
          <w:lang w:val="en-US"/>
        </w:rPr>
      </w:pPr>
      <w:r>
        <w:rPr>
          <w:rStyle w:val="FootnoteReference"/>
        </w:rPr>
        <w:footnoteRef/>
      </w:r>
      <w:r>
        <w:t xml:space="preserve"> </w:t>
      </w:r>
      <w:r>
        <w:rPr>
          <w:lang w:val="en-US"/>
        </w:rPr>
        <w:t xml:space="preserve">A related party </w:t>
      </w:r>
      <w:r w:rsidR="00266102">
        <w:rPr>
          <w:lang w:val="en-US"/>
        </w:rPr>
        <w:t xml:space="preserve">in respect of a company is one that can exercise control, thus </w:t>
      </w:r>
      <w:r w:rsidR="00BA35AD">
        <w:rPr>
          <w:lang w:val="en-US"/>
        </w:rPr>
        <w:t>the capacity to control the outcomes o</w:t>
      </w:r>
      <w:r w:rsidR="00945BA5">
        <w:rPr>
          <w:lang w:val="en-US"/>
        </w:rPr>
        <w:t>f</w:t>
      </w:r>
      <w:r w:rsidR="00BA35AD">
        <w:rPr>
          <w:lang w:val="en-US"/>
        </w:rPr>
        <w:t xml:space="preserve"> decisions on financial and operating policies</w:t>
      </w:r>
      <w:r w:rsidR="00A44DB0">
        <w:rPr>
          <w:lang w:val="en-US"/>
        </w:rPr>
        <w:t xml:space="preserve"> which would appear to us</w:t>
      </w:r>
      <w:r w:rsidR="000A4598">
        <w:rPr>
          <w:lang w:val="en-US"/>
        </w:rPr>
        <w:t xml:space="preserve"> to</w:t>
      </w:r>
      <w:r w:rsidR="00A44DB0">
        <w:rPr>
          <w:lang w:val="en-US"/>
        </w:rPr>
        <w:t xml:space="preserve"> be above 50%.</w:t>
      </w:r>
      <w:r w:rsidR="008957B9">
        <w:rPr>
          <w:lang w:val="en-US"/>
        </w:rPr>
        <w:t xml:space="preserve"> </w:t>
      </w:r>
      <w:hyperlink r:id="rId13" w:history="1">
        <w:r w:rsidR="004A281B" w:rsidRPr="004E1CFE">
          <w:rPr>
            <w:rStyle w:val="Hyperlink"/>
            <w:lang w:val="en-US"/>
          </w:rPr>
          <w:t>https://www.asx.com.au/documents/rules/Chapter19.pdf</w:t>
        </w:r>
      </w:hyperlink>
    </w:p>
  </w:footnote>
  <w:footnote w:id="17">
    <w:p w14:paraId="4FE39646" w14:textId="2C629FAC" w:rsidR="00CB1C49" w:rsidRDefault="00CB1C49">
      <w:pPr>
        <w:pStyle w:val="FootnoteText"/>
        <w:rPr>
          <w:lang w:val="en-US"/>
        </w:rPr>
      </w:pPr>
      <w:r>
        <w:rPr>
          <w:rStyle w:val="FootnoteReference"/>
        </w:rPr>
        <w:footnoteRef/>
      </w:r>
      <w:r>
        <w:t xml:space="preserve"> </w:t>
      </w:r>
      <w:r>
        <w:rPr>
          <w:lang w:val="en-US"/>
        </w:rPr>
        <w:t xml:space="preserve">Definitions: </w:t>
      </w:r>
      <w:hyperlink r:id="rId14" w:history="1">
        <w:r w:rsidRPr="00EA0CBA">
          <w:rPr>
            <w:rStyle w:val="Hyperlink"/>
            <w:lang w:val="en-US"/>
          </w:rPr>
          <w:t>file:///C:/Users/AlwynF/Downloads/Chapter19.pdf</w:t>
        </w:r>
      </w:hyperlink>
    </w:p>
    <w:p w14:paraId="457C81EA" w14:textId="77777777" w:rsidR="00CB1C49" w:rsidRPr="00CB1C49" w:rsidRDefault="00CB1C4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BB03" w14:textId="77777777" w:rsidR="00272307" w:rsidRDefault="0027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AB0"/>
    <w:multiLevelType w:val="hybridMultilevel"/>
    <w:tmpl w:val="5F0A65A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CD51EF5"/>
    <w:multiLevelType w:val="hybridMultilevel"/>
    <w:tmpl w:val="AEC8E21E"/>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1B93"/>
    <w:multiLevelType w:val="hybridMultilevel"/>
    <w:tmpl w:val="060AFE26"/>
    <w:lvl w:ilvl="0" w:tplc="1C090001">
      <w:start w:val="1"/>
      <w:numFmt w:val="bullet"/>
      <w:lvlText w:val=""/>
      <w:lvlJc w:val="left"/>
      <w:pPr>
        <w:ind w:left="773" w:hanging="360"/>
      </w:pPr>
      <w:rPr>
        <w:rFonts w:ascii="Symbol" w:hAnsi="Symbol" w:hint="default"/>
      </w:rPr>
    </w:lvl>
    <w:lvl w:ilvl="1" w:tplc="1C090003" w:tentative="1">
      <w:start w:val="1"/>
      <w:numFmt w:val="bullet"/>
      <w:lvlText w:val="o"/>
      <w:lvlJc w:val="left"/>
      <w:pPr>
        <w:ind w:left="1493" w:hanging="360"/>
      </w:pPr>
      <w:rPr>
        <w:rFonts w:ascii="Courier New" w:hAnsi="Courier New" w:cs="Courier New" w:hint="default"/>
      </w:rPr>
    </w:lvl>
    <w:lvl w:ilvl="2" w:tplc="1C090005" w:tentative="1">
      <w:start w:val="1"/>
      <w:numFmt w:val="bullet"/>
      <w:lvlText w:val=""/>
      <w:lvlJc w:val="left"/>
      <w:pPr>
        <w:ind w:left="2213" w:hanging="360"/>
      </w:pPr>
      <w:rPr>
        <w:rFonts w:ascii="Wingdings" w:hAnsi="Wingdings" w:hint="default"/>
      </w:rPr>
    </w:lvl>
    <w:lvl w:ilvl="3" w:tplc="1C090001" w:tentative="1">
      <w:start w:val="1"/>
      <w:numFmt w:val="bullet"/>
      <w:lvlText w:val=""/>
      <w:lvlJc w:val="left"/>
      <w:pPr>
        <w:ind w:left="2933" w:hanging="360"/>
      </w:pPr>
      <w:rPr>
        <w:rFonts w:ascii="Symbol" w:hAnsi="Symbol" w:hint="default"/>
      </w:rPr>
    </w:lvl>
    <w:lvl w:ilvl="4" w:tplc="1C090003" w:tentative="1">
      <w:start w:val="1"/>
      <w:numFmt w:val="bullet"/>
      <w:lvlText w:val="o"/>
      <w:lvlJc w:val="left"/>
      <w:pPr>
        <w:ind w:left="3653" w:hanging="360"/>
      </w:pPr>
      <w:rPr>
        <w:rFonts w:ascii="Courier New" w:hAnsi="Courier New" w:cs="Courier New" w:hint="default"/>
      </w:rPr>
    </w:lvl>
    <w:lvl w:ilvl="5" w:tplc="1C090005" w:tentative="1">
      <w:start w:val="1"/>
      <w:numFmt w:val="bullet"/>
      <w:lvlText w:val=""/>
      <w:lvlJc w:val="left"/>
      <w:pPr>
        <w:ind w:left="4373" w:hanging="360"/>
      </w:pPr>
      <w:rPr>
        <w:rFonts w:ascii="Wingdings" w:hAnsi="Wingdings" w:hint="default"/>
      </w:rPr>
    </w:lvl>
    <w:lvl w:ilvl="6" w:tplc="1C090001" w:tentative="1">
      <w:start w:val="1"/>
      <w:numFmt w:val="bullet"/>
      <w:lvlText w:val=""/>
      <w:lvlJc w:val="left"/>
      <w:pPr>
        <w:ind w:left="5093" w:hanging="360"/>
      </w:pPr>
      <w:rPr>
        <w:rFonts w:ascii="Symbol" w:hAnsi="Symbol" w:hint="default"/>
      </w:rPr>
    </w:lvl>
    <w:lvl w:ilvl="7" w:tplc="1C090003" w:tentative="1">
      <w:start w:val="1"/>
      <w:numFmt w:val="bullet"/>
      <w:lvlText w:val="o"/>
      <w:lvlJc w:val="left"/>
      <w:pPr>
        <w:ind w:left="5813" w:hanging="360"/>
      </w:pPr>
      <w:rPr>
        <w:rFonts w:ascii="Courier New" w:hAnsi="Courier New" w:cs="Courier New" w:hint="default"/>
      </w:rPr>
    </w:lvl>
    <w:lvl w:ilvl="8" w:tplc="1C090005" w:tentative="1">
      <w:start w:val="1"/>
      <w:numFmt w:val="bullet"/>
      <w:lvlText w:val=""/>
      <w:lvlJc w:val="left"/>
      <w:pPr>
        <w:ind w:left="6533" w:hanging="360"/>
      </w:pPr>
      <w:rPr>
        <w:rFonts w:ascii="Wingdings" w:hAnsi="Wingdings" w:hint="default"/>
      </w:rPr>
    </w:lvl>
  </w:abstractNum>
  <w:abstractNum w:abstractNumId="3" w15:restartNumberingAfterBreak="0">
    <w:nsid w:val="40F36771"/>
    <w:multiLevelType w:val="hybridMultilevel"/>
    <w:tmpl w:val="716226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3E036AA"/>
    <w:multiLevelType w:val="hybridMultilevel"/>
    <w:tmpl w:val="9D08B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0E462F"/>
    <w:multiLevelType w:val="hybridMultilevel"/>
    <w:tmpl w:val="885CA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80D3F74"/>
    <w:multiLevelType w:val="hybridMultilevel"/>
    <w:tmpl w:val="7CB46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C4D3089"/>
    <w:multiLevelType w:val="hybridMultilevel"/>
    <w:tmpl w:val="76563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E3A2AB6"/>
    <w:multiLevelType w:val="hybridMultilevel"/>
    <w:tmpl w:val="9B9C1B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D0D56B2"/>
    <w:multiLevelType w:val="hybridMultilevel"/>
    <w:tmpl w:val="82B4C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F6703C2"/>
    <w:multiLevelType w:val="hybridMultilevel"/>
    <w:tmpl w:val="9258C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5755E2C"/>
    <w:multiLevelType w:val="hybridMultilevel"/>
    <w:tmpl w:val="21C842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C337FCF"/>
    <w:multiLevelType w:val="hybridMultilevel"/>
    <w:tmpl w:val="1F205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69517063">
    <w:abstractNumId w:val="6"/>
  </w:num>
  <w:num w:numId="2" w16cid:durableId="740835541">
    <w:abstractNumId w:val="1"/>
  </w:num>
  <w:num w:numId="3" w16cid:durableId="19823189">
    <w:abstractNumId w:val="8"/>
  </w:num>
  <w:num w:numId="4" w16cid:durableId="1326978010">
    <w:abstractNumId w:val="3"/>
  </w:num>
  <w:num w:numId="5" w16cid:durableId="1192764149">
    <w:abstractNumId w:val="7"/>
  </w:num>
  <w:num w:numId="6" w16cid:durableId="823282530">
    <w:abstractNumId w:val="4"/>
  </w:num>
  <w:num w:numId="7" w16cid:durableId="1913930937">
    <w:abstractNumId w:val="2"/>
  </w:num>
  <w:num w:numId="8" w16cid:durableId="898783300">
    <w:abstractNumId w:val="11"/>
  </w:num>
  <w:num w:numId="9" w16cid:durableId="485169703">
    <w:abstractNumId w:val="0"/>
  </w:num>
  <w:num w:numId="10" w16cid:durableId="1003431387">
    <w:abstractNumId w:val="12"/>
  </w:num>
  <w:num w:numId="11" w16cid:durableId="1932934897">
    <w:abstractNumId w:val="5"/>
  </w:num>
  <w:num w:numId="12" w16cid:durableId="1608199085">
    <w:abstractNumId w:val="9"/>
  </w:num>
  <w:num w:numId="13" w16cid:durableId="14648853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86"/>
    <w:rsid w:val="00000B1F"/>
    <w:rsid w:val="0000288A"/>
    <w:rsid w:val="00003AEC"/>
    <w:rsid w:val="000041C6"/>
    <w:rsid w:val="000050D6"/>
    <w:rsid w:val="00005DA9"/>
    <w:rsid w:val="00006103"/>
    <w:rsid w:val="00006BB6"/>
    <w:rsid w:val="00007961"/>
    <w:rsid w:val="00010E54"/>
    <w:rsid w:val="000118F7"/>
    <w:rsid w:val="00011FFA"/>
    <w:rsid w:val="0001358F"/>
    <w:rsid w:val="00016723"/>
    <w:rsid w:val="00020478"/>
    <w:rsid w:val="0002202A"/>
    <w:rsid w:val="00022C1B"/>
    <w:rsid w:val="00022D0C"/>
    <w:rsid w:val="0002315C"/>
    <w:rsid w:val="00023956"/>
    <w:rsid w:val="00023F56"/>
    <w:rsid w:val="00024ABC"/>
    <w:rsid w:val="00027259"/>
    <w:rsid w:val="000273B2"/>
    <w:rsid w:val="00027716"/>
    <w:rsid w:val="00031964"/>
    <w:rsid w:val="00035084"/>
    <w:rsid w:val="0003562B"/>
    <w:rsid w:val="00035FD6"/>
    <w:rsid w:val="0004028D"/>
    <w:rsid w:val="00040855"/>
    <w:rsid w:val="000416CF"/>
    <w:rsid w:val="00042AF9"/>
    <w:rsid w:val="00043557"/>
    <w:rsid w:val="00045074"/>
    <w:rsid w:val="000450A2"/>
    <w:rsid w:val="000470F0"/>
    <w:rsid w:val="0004723E"/>
    <w:rsid w:val="000477CA"/>
    <w:rsid w:val="000500E3"/>
    <w:rsid w:val="00051E70"/>
    <w:rsid w:val="00053D41"/>
    <w:rsid w:val="00054AFD"/>
    <w:rsid w:val="0005657E"/>
    <w:rsid w:val="000608F0"/>
    <w:rsid w:val="0006402B"/>
    <w:rsid w:val="00064363"/>
    <w:rsid w:val="0006626B"/>
    <w:rsid w:val="00066FF2"/>
    <w:rsid w:val="00067D7A"/>
    <w:rsid w:val="000818B5"/>
    <w:rsid w:val="00081BB6"/>
    <w:rsid w:val="000828B9"/>
    <w:rsid w:val="00083992"/>
    <w:rsid w:val="00083B2A"/>
    <w:rsid w:val="00084813"/>
    <w:rsid w:val="00084939"/>
    <w:rsid w:val="00084973"/>
    <w:rsid w:val="000861BB"/>
    <w:rsid w:val="0009070C"/>
    <w:rsid w:val="000909DF"/>
    <w:rsid w:val="00091736"/>
    <w:rsid w:val="00092626"/>
    <w:rsid w:val="000930F9"/>
    <w:rsid w:val="000934A7"/>
    <w:rsid w:val="00094F1D"/>
    <w:rsid w:val="00096FC9"/>
    <w:rsid w:val="000975C5"/>
    <w:rsid w:val="000A09D6"/>
    <w:rsid w:val="000A15F7"/>
    <w:rsid w:val="000A1CFD"/>
    <w:rsid w:val="000A3847"/>
    <w:rsid w:val="000A3886"/>
    <w:rsid w:val="000A3BE3"/>
    <w:rsid w:val="000A4598"/>
    <w:rsid w:val="000A46D3"/>
    <w:rsid w:val="000A56ED"/>
    <w:rsid w:val="000B18AD"/>
    <w:rsid w:val="000B3B28"/>
    <w:rsid w:val="000B4050"/>
    <w:rsid w:val="000B4C95"/>
    <w:rsid w:val="000B6FFA"/>
    <w:rsid w:val="000C0824"/>
    <w:rsid w:val="000C0C7C"/>
    <w:rsid w:val="000C4CFF"/>
    <w:rsid w:val="000C4FDA"/>
    <w:rsid w:val="000C5A89"/>
    <w:rsid w:val="000C64DD"/>
    <w:rsid w:val="000D2474"/>
    <w:rsid w:val="000D4801"/>
    <w:rsid w:val="000D5145"/>
    <w:rsid w:val="000D5B8C"/>
    <w:rsid w:val="000D6B69"/>
    <w:rsid w:val="000D743D"/>
    <w:rsid w:val="000D79AE"/>
    <w:rsid w:val="000E0193"/>
    <w:rsid w:val="000E1832"/>
    <w:rsid w:val="000E1C89"/>
    <w:rsid w:val="000E277D"/>
    <w:rsid w:val="000E51CE"/>
    <w:rsid w:val="000E5CAE"/>
    <w:rsid w:val="000E685A"/>
    <w:rsid w:val="000F0944"/>
    <w:rsid w:val="000F2D17"/>
    <w:rsid w:val="000F3AFF"/>
    <w:rsid w:val="000F485A"/>
    <w:rsid w:val="000F5ADA"/>
    <w:rsid w:val="000F70B8"/>
    <w:rsid w:val="00100625"/>
    <w:rsid w:val="001025A9"/>
    <w:rsid w:val="0010378E"/>
    <w:rsid w:val="00103D53"/>
    <w:rsid w:val="00104CC4"/>
    <w:rsid w:val="00106DDE"/>
    <w:rsid w:val="00107370"/>
    <w:rsid w:val="0011144F"/>
    <w:rsid w:val="00111DD0"/>
    <w:rsid w:val="00115F9B"/>
    <w:rsid w:val="0011693A"/>
    <w:rsid w:val="00120372"/>
    <w:rsid w:val="00120DB0"/>
    <w:rsid w:val="00120E62"/>
    <w:rsid w:val="00123A52"/>
    <w:rsid w:val="00123D46"/>
    <w:rsid w:val="0012408E"/>
    <w:rsid w:val="00124269"/>
    <w:rsid w:val="001279FC"/>
    <w:rsid w:val="00127EB0"/>
    <w:rsid w:val="0013464D"/>
    <w:rsid w:val="001347BF"/>
    <w:rsid w:val="00136A14"/>
    <w:rsid w:val="00136D06"/>
    <w:rsid w:val="0014056F"/>
    <w:rsid w:val="00141EE0"/>
    <w:rsid w:val="0014246F"/>
    <w:rsid w:val="00144EB5"/>
    <w:rsid w:val="001456E8"/>
    <w:rsid w:val="0014615E"/>
    <w:rsid w:val="00146A54"/>
    <w:rsid w:val="00153192"/>
    <w:rsid w:val="00153249"/>
    <w:rsid w:val="001557CC"/>
    <w:rsid w:val="00155F8C"/>
    <w:rsid w:val="00160524"/>
    <w:rsid w:val="00160D92"/>
    <w:rsid w:val="001618E5"/>
    <w:rsid w:val="0016277E"/>
    <w:rsid w:val="00162E1E"/>
    <w:rsid w:val="0016368E"/>
    <w:rsid w:val="001643F6"/>
    <w:rsid w:val="00166D21"/>
    <w:rsid w:val="00167BBD"/>
    <w:rsid w:val="0017026C"/>
    <w:rsid w:val="00170ADD"/>
    <w:rsid w:val="001728EF"/>
    <w:rsid w:val="0017371F"/>
    <w:rsid w:val="00175966"/>
    <w:rsid w:val="001762CA"/>
    <w:rsid w:val="00177C43"/>
    <w:rsid w:val="001802E1"/>
    <w:rsid w:val="001809F0"/>
    <w:rsid w:val="00181DE8"/>
    <w:rsid w:val="001855C4"/>
    <w:rsid w:val="00185625"/>
    <w:rsid w:val="00186B55"/>
    <w:rsid w:val="001923C7"/>
    <w:rsid w:val="00192D99"/>
    <w:rsid w:val="00193D79"/>
    <w:rsid w:val="00197834"/>
    <w:rsid w:val="00197AB0"/>
    <w:rsid w:val="001A0CC5"/>
    <w:rsid w:val="001A248E"/>
    <w:rsid w:val="001A3009"/>
    <w:rsid w:val="001A3CAD"/>
    <w:rsid w:val="001A6CFB"/>
    <w:rsid w:val="001A6FC2"/>
    <w:rsid w:val="001A75DC"/>
    <w:rsid w:val="001B0352"/>
    <w:rsid w:val="001B1167"/>
    <w:rsid w:val="001B31F0"/>
    <w:rsid w:val="001B583A"/>
    <w:rsid w:val="001B5F65"/>
    <w:rsid w:val="001B710F"/>
    <w:rsid w:val="001B7F85"/>
    <w:rsid w:val="001C09A9"/>
    <w:rsid w:val="001C0E2D"/>
    <w:rsid w:val="001C3FA0"/>
    <w:rsid w:val="001C43B3"/>
    <w:rsid w:val="001C4E85"/>
    <w:rsid w:val="001C5E3B"/>
    <w:rsid w:val="001C7499"/>
    <w:rsid w:val="001C78FF"/>
    <w:rsid w:val="001C7FF2"/>
    <w:rsid w:val="001D05C0"/>
    <w:rsid w:val="001E6C48"/>
    <w:rsid w:val="001E72B1"/>
    <w:rsid w:val="001F1334"/>
    <w:rsid w:val="001F268E"/>
    <w:rsid w:val="001F413F"/>
    <w:rsid w:val="001F562D"/>
    <w:rsid w:val="001F576E"/>
    <w:rsid w:val="001F6064"/>
    <w:rsid w:val="001F7779"/>
    <w:rsid w:val="001F7E53"/>
    <w:rsid w:val="002014A9"/>
    <w:rsid w:val="0020565D"/>
    <w:rsid w:val="00206ECB"/>
    <w:rsid w:val="00210996"/>
    <w:rsid w:val="0021125D"/>
    <w:rsid w:val="002118D5"/>
    <w:rsid w:val="0021456F"/>
    <w:rsid w:val="00214E1D"/>
    <w:rsid w:val="00214F97"/>
    <w:rsid w:val="002150E0"/>
    <w:rsid w:val="00215B6D"/>
    <w:rsid w:val="00220080"/>
    <w:rsid w:val="00220F9D"/>
    <w:rsid w:val="00224153"/>
    <w:rsid w:val="00226BF8"/>
    <w:rsid w:val="002275A1"/>
    <w:rsid w:val="002277E4"/>
    <w:rsid w:val="00227B5F"/>
    <w:rsid w:val="00232D85"/>
    <w:rsid w:val="00235076"/>
    <w:rsid w:val="002354C7"/>
    <w:rsid w:val="0024066A"/>
    <w:rsid w:val="002416E9"/>
    <w:rsid w:val="00241D29"/>
    <w:rsid w:val="00244650"/>
    <w:rsid w:val="00244788"/>
    <w:rsid w:val="002449DB"/>
    <w:rsid w:val="00244D8A"/>
    <w:rsid w:val="00245195"/>
    <w:rsid w:val="00246534"/>
    <w:rsid w:val="002470C4"/>
    <w:rsid w:val="002474E5"/>
    <w:rsid w:val="002501D6"/>
    <w:rsid w:val="00250A60"/>
    <w:rsid w:val="0025173A"/>
    <w:rsid w:val="002523D5"/>
    <w:rsid w:val="00252AFC"/>
    <w:rsid w:val="0025365F"/>
    <w:rsid w:val="0025405B"/>
    <w:rsid w:val="002545FA"/>
    <w:rsid w:val="00260630"/>
    <w:rsid w:val="00260F27"/>
    <w:rsid w:val="00261125"/>
    <w:rsid w:val="00263C01"/>
    <w:rsid w:val="0026581D"/>
    <w:rsid w:val="00266102"/>
    <w:rsid w:val="00267229"/>
    <w:rsid w:val="00272307"/>
    <w:rsid w:val="00274EFD"/>
    <w:rsid w:val="0027555D"/>
    <w:rsid w:val="0027556F"/>
    <w:rsid w:val="00276CC9"/>
    <w:rsid w:val="00276D6C"/>
    <w:rsid w:val="00280ACC"/>
    <w:rsid w:val="00281D82"/>
    <w:rsid w:val="00283995"/>
    <w:rsid w:val="00283C74"/>
    <w:rsid w:val="002863BB"/>
    <w:rsid w:val="00287DE3"/>
    <w:rsid w:val="00290889"/>
    <w:rsid w:val="00290AB9"/>
    <w:rsid w:val="00290C35"/>
    <w:rsid w:val="00292466"/>
    <w:rsid w:val="002939AC"/>
    <w:rsid w:val="00293F08"/>
    <w:rsid w:val="0029782E"/>
    <w:rsid w:val="002A17F2"/>
    <w:rsid w:val="002A1B80"/>
    <w:rsid w:val="002A38DE"/>
    <w:rsid w:val="002A3DEF"/>
    <w:rsid w:val="002A4D29"/>
    <w:rsid w:val="002A7082"/>
    <w:rsid w:val="002B1504"/>
    <w:rsid w:val="002B15EE"/>
    <w:rsid w:val="002B1767"/>
    <w:rsid w:val="002B1AEE"/>
    <w:rsid w:val="002B2ACB"/>
    <w:rsid w:val="002B6E9A"/>
    <w:rsid w:val="002C0988"/>
    <w:rsid w:val="002C0F40"/>
    <w:rsid w:val="002C2AFE"/>
    <w:rsid w:val="002C30B3"/>
    <w:rsid w:val="002C355C"/>
    <w:rsid w:val="002C6FF7"/>
    <w:rsid w:val="002C7503"/>
    <w:rsid w:val="002D1216"/>
    <w:rsid w:val="002D15CF"/>
    <w:rsid w:val="002D1E20"/>
    <w:rsid w:val="002D3CC9"/>
    <w:rsid w:val="002D406D"/>
    <w:rsid w:val="002D4500"/>
    <w:rsid w:val="002D459C"/>
    <w:rsid w:val="002D4D81"/>
    <w:rsid w:val="002D5B68"/>
    <w:rsid w:val="002E1F61"/>
    <w:rsid w:val="002E4FF0"/>
    <w:rsid w:val="002E56C4"/>
    <w:rsid w:val="002E64C2"/>
    <w:rsid w:val="002F1A1A"/>
    <w:rsid w:val="002F1C1C"/>
    <w:rsid w:val="002F1E36"/>
    <w:rsid w:val="002F2F3D"/>
    <w:rsid w:val="002F7830"/>
    <w:rsid w:val="002F7E82"/>
    <w:rsid w:val="0030032C"/>
    <w:rsid w:val="00302188"/>
    <w:rsid w:val="003053EB"/>
    <w:rsid w:val="0030584A"/>
    <w:rsid w:val="00305F69"/>
    <w:rsid w:val="0031067E"/>
    <w:rsid w:val="00311583"/>
    <w:rsid w:val="00311A7F"/>
    <w:rsid w:val="00311FEE"/>
    <w:rsid w:val="0031400C"/>
    <w:rsid w:val="003166BC"/>
    <w:rsid w:val="00320D50"/>
    <w:rsid w:val="00321454"/>
    <w:rsid w:val="00322E2E"/>
    <w:rsid w:val="00322F42"/>
    <w:rsid w:val="00324B12"/>
    <w:rsid w:val="00324DF7"/>
    <w:rsid w:val="003259F9"/>
    <w:rsid w:val="0032613D"/>
    <w:rsid w:val="00326D22"/>
    <w:rsid w:val="00327589"/>
    <w:rsid w:val="00327FF7"/>
    <w:rsid w:val="00331D57"/>
    <w:rsid w:val="00333CEE"/>
    <w:rsid w:val="00333EFE"/>
    <w:rsid w:val="00334776"/>
    <w:rsid w:val="00334D06"/>
    <w:rsid w:val="00334DD7"/>
    <w:rsid w:val="00336357"/>
    <w:rsid w:val="0033690C"/>
    <w:rsid w:val="003410C3"/>
    <w:rsid w:val="00341CB6"/>
    <w:rsid w:val="00343470"/>
    <w:rsid w:val="00343572"/>
    <w:rsid w:val="003438A8"/>
    <w:rsid w:val="00343A7E"/>
    <w:rsid w:val="003452A4"/>
    <w:rsid w:val="00346E9F"/>
    <w:rsid w:val="00351376"/>
    <w:rsid w:val="0035296F"/>
    <w:rsid w:val="003539C6"/>
    <w:rsid w:val="00353ABE"/>
    <w:rsid w:val="00353CC2"/>
    <w:rsid w:val="00353DB1"/>
    <w:rsid w:val="0035483B"/>
    <w:rsid w:val="00355259"/>
    <w:rsid w:val="003567D6"/>
    <w:rsid w:val="00357515"/>
    <w:rsid w:val="003578D4"/>
    <w:rsid w:val="00361644"/>
    <w:rsid w:val="00361EA8"/>
    <w:rsid w:val="0036297D"/>
    <w:rsid w:val="00365EA4"/>
    <w:rsid w:val="0036715B"/>
    <w:rsid w:val="003671F4"/>
    <w:rsid w:val="00367CF7"/>
    <w:rsid w:val="0037283F"/>
    <w:rsid w:val="003733A2"/>
    <w:rsid w:val="00380743"/>
    <w:rsid w:val="0038290F"/>
    <w:rsid w:val="00382EB8"/>
    <w:rsid w:val="00384358"/>
    <w:rsid w:val="00385EC3"/>
    <w:rsid w:val="003878DE"/>
    <w:rsid w:val="00390CAE"/>
    <w:rsid w:val="00391616"/>
    <w:rsid w:val="00395323"/>
    <w:rsid w:val="00396704"/>
    <w:rsid w:val="003972E7"/>
    <w:rsid w:val="00397EB1"/>
    <w:rsid w:val="003A0FC1"/>
    <w:rsid w:val="003A1854"/>
    <w:rsid w:val="003A2A44"/>
    <w:rsid w:val="003A5418"/>
    <w:rsid w:val="003A6D30"/>
    <w:rsid w:val="003A7111"/>
    <w:rsid w:val="003A7B1F"/>
    <w:rsid w:val="003B0C29"/>
    <w:rsid w:val="003B32D5"/>
    <w:rsid w:val="003B35A5"/>
    <w:rsid w:val="003B5CBC"/>
    <w:rsid w:val="003B62EA"/>
    <w:rsid w:val="003B7350"/>
    <w:rsid w:val="003B7B33"/>
    <w:rsid w:val="003B7F5C"/>
    <w:rsid w:val="003C177C"/>
    <w:rsid w:val="003C1CE1"/>
    <w:rsid w:val="003C37E6"/>
    <w:rsid w:val="003C6031"/>
    <w:rsid w:val="003D105E"/>
    <w:rsid w:val="003D180B"/>
    <w:rsid w:val="003D1FB6"/>
    <w:rsid w:val="003D365C"/>
    <w:rsid w:val="003D41C2"/>
    <w:rsid w:val="003D49CC"/>
    <w:rsid w:val="003D4C45"/>
    <w:rsid w:val="003D4E4C"/>
    <w:rsid w:val="003D57BE"/>
    <w:rsid w:val="003D5BAB"/>
    <w:rsid w:val="003D64BE"/>
    <w:rsid w:val="003D7402"/>
    <w:rsid w:val="003E0CD9"/>
    <w:rsid w:val="003E17D1"/>
    <w:rsid w:val="003E453E"/>
    <w:rsid w:val="003E6E87"/>
    <w:rsid w:val="003E7121"/>
    <w:rsid w:val="003E7C96"/>
    <w:rsid w:val="003E7CF0"/>
    <w:rsid w:val="003F1053"/>
    <w:rsid w:val="003F1563"/>
    <w:rsid w:val="003F3472"/>
    <w:rsid w:val="003F5354"/>
    <w:rsid w:val="003F5B31"/>
    <w:rsid w:val="003F5B6B"/>
    <w:rsid w:val="003F5E1D"/>
    <w:rsid w:val="003F6678"/>
    <w:rsid w:val="003F7579"/>
    <w:rsid w:val="00400D6E"/>
    <w:rsid w:val="00400E3E"/>
    <w:rsid w:val="0040168A"/>
    <w:rsid w:val="00406254"/>
    <w:rsid w:val="00412665"/>
    <w:rsid w:val="00414186"/>
    <w:rsid w:val="00415154"/>
    <w:rsid w:val="004166DA"/>
    <w:rsid w:val="00417296"/>
    <w:rsid w:val="00420134"/>
    <w:rsid w:val="00420243"/>
    <w:rsid w:val="004206B0"/>
    <w:rsid w:val="00420960"/>
    <w:rsid w:val="00420E7F"/>
    <w:rsid w:val="00423BA9"/>
    <w:rsid w:val="00426FB8"/>
    <w:rsid w:val="00426FE4"/>
    <w:rsid w:val="00427676"/>
    <w:rsid w:val="00427698"/>
    <w:rsid w:val="00431133"/>
    <w:rsid w:val="00433543"/>
    <w:rsid w:val="00433633"/>
    <w:rsid w:val="0044137A"/>
    <w:rsid w:val="0044271D"/>
    <w:rsid w:val="004432FE"/>
    <w:rsid w:val="00443607"/>
    <w:rsid w:val="004440E1"/>
    <w:rsid w:val="004443FD"/>
    <w:rsid w:val="004455FF"/>
    <w:rsid w:val="00446F55"/>
    <w:rsid w:val="00451880"/>
    <w:rsid w:val="004526F5"/>
    <w:rsid w:val="004559A3"/>
    <w:rsid w:val="004560C3"/>
    <w:rsid w:val="00456D6B"/>
    <w:rsid w:val="00456E6B"/>
    <w:rsid w:val="00456F12"/>
    <w:rsid w:val="00457E4B"/>
    <w:rsid w:val="0046003E"/>
    <w:rsid w:val="00462E64"/>
    <w:rsid w:val="00464798"/>
    <w:rsid w:val="00467183"/>
    <w:rsid w:val="004711D0"/>
    <w:rsid w:val="00474808"/>
    <w:rsid w:val="00474B46"/>
    <w:rsid w:val="0047529C"/>
    <w:rsid w:val="00477DAE"/>
    <w:rsid w:val="0048383D"/>
    <w:rsid w:val="00485C94"/>
    <w:rsid w:val="00486166"/>
    <w:rsid w:val="00491FE9"/>
    <w:rsid w:val="00492731"/>
    <w:rsid w:val="00493C23"/>
    <w:rsid w:val="004954CC"/>
    <w:rsid w:val="004962CB"/>
    <w:rsid w:val="004A0172"/>
    <w:rsid w:val="004A06AD"/>
    <w:rsid w:val="004A1C4F"/>
    <w:rsid w:val="004A281B"/>
    <w:rsid w:val="004A2F64"/>
    <w:rsid w:val="004A3356"/>
    <w:rsid w:val="004A4D01"/>
    <w:rsid w:val="004A6202"/>
    <w:rsid w:val="004B1CD2"/>
    <w:rsid w:val="004B45CC"/>
    <w:rsid w:val="004B5704"/>
    <w:rsid w:val="004C010A"/>
    <w:rsid w:val="004C11C0"/>
    <w:rsid w:val="004C1C45"/>
    <w:rsid w:val="004C262B"/>
    <w:rsid w:val="004C330A"/>
    <w:rsid w:val="004C3683"/>
    <w:rsid w:val="004D02EE"/>
    <w:rsid w:val="004D113E"/>
    <w:rsid w:val="004D19FC"/>
    <w:rsid w:val="004D2A47"/>
    <w:rsid w:val="004D2EAB"/>
    <w:rsid w:val="004D359B"/>
    <w:rsid w:val="004D39F1"/>
    <w:rsid w:val="004D5654"/>
    <w:rsid w:val="004D589A"/>
    <w:rsid w:val="004D75F1"/>
    <w:rsid w:val="004E23D1"/>
    <w:rsid w:val="004E27A7"/>
    <w:rsid w:val="004E37DF"/>
    <w:rsid w:val="004E5A12"/>
    <w:rsid w:val="004F0BC8"/>
    <w:rsid w:val="004F0F13"/>
    <w:rsid w:val="004F170D"/>
    <w:rsid w:val="004F5821"/>
    <w:rsid w:val="004F5A57"/>
    <w:rsid w:val="004F76F3"/>
    <w:rsid w:val="00500127"/>
    <w:rsid w:val="0050047B"/>
    <w:rsid w:val="00502631"/>
    <w:rsid w:val="00503B86"/>
    <w:rsid w:val="00506515"/>
    <w:rsid w:val="00511144"/>
    <w:rsid w:val="00511383"/>
    <w:rsid w:val="00514BB1"/>
    <w:rsid w:val="005162D5"/>
    <w:rsid w:val="00517EDF"/>
    <w:rsid w:val="0052068A"/>
    <w:rsid w:val="00521B58"/>
    <w:rsid w:val="00522DB4"/>
    <w:rsid w:val="00527782"/>
    <w:rsid w:val="00530889"/>
    <w:rsid w:val="00531F32"/>
    <w:rsid w:val="00533706"/>
    <w:rsid w:val="00533CF8"/>
    <w:rsid w:val="00534934"/>
    <w:rsid w:val="0053501C"/>
    <w:rsid w:val="005350A9"/>
    <w:rsid w:val="005369DD"/>
    <w:rsid w:val="00536B4F"/>
    <w:rsid w:val="005371E0"/>
    <w:rsid w:val="005377F3"/>
    <w:rsid w:val="00537C26"/>
    <w:rsid w:val="00540FB2"/>
    <w:rsid w:val="0054153A"/>
    <w:rsid w:val="005422B4"/>
    <w:rsid w:val="00542CFF"/>
    <w:rsid w:val="00550C97"/>
    <w:rsid w:val="00553A4B"/>
    <w:rsid w:val="00554A10"/>
    <w:rsid w:val="00554B1B"/>
    <w:rsid w:val="005556FB"/>
    <w:rsid w:val="00555FA5"/>
    <w:rsid w:val="005563AA"/>
    <w:rsid w:val="005563D5"/>
    <w:rsid w:val="00560CBB"/>
    <w:rsid w:val="0056166B"/>
    <w:rsid w:val="00562921"/>
    <w:rsid w:val="0056497E"/>
    <w:rsid w:val="005655F4"/>
    <w:rsid w:val="005663B6"/>
    <w:rsid w:val="00566CDB"/>
    <w:rsid w:val="00567E48"/>
    <w:rsid w:val="00567E62"/>
    <w:rsid w:val="00570317"/>
    <w:rsid w:val="00572825"/>
    <w:rsid w:val="00573B94"/>
    <w:rsid w:val="005834DA"/>
    <w:rsid w:val="00584327"/>
    <w:rsid w:val="00584B32"/>
    <w:rsid w:val="0059146A"/>
    <w:rsid w:val="00591602"/>
    <w:rsid w:val="0059177C"/>
    <w:rsid w:val="005919C9"/>
    <w:rsid w:val="00591E34"/>
    <w:rsid w:val="00591E3D"/>
    <w:rsid w:val="00592BD7"/>
    <w:rsid w:val="00596B14"/>
    <w:rsid w:val="005A0073"/>
    <w:rsid w:val="005A125B"/>
    <w:rsid w:val="005A1B3A"/>
    <w:rsid w:val="005A2BCB"/>
    <w:rsid w:val="005A339E"/>
    <w:rsid w:val="005A40C4"/>
    <w:rsid w:val="005A6192"/>
    <w:rsid w:val="005B095E"/>
    <w:rsid w:val="005B1457"/>
    <w:rsid w:val="005B260C"/>
    <w:rsid w:val="005B376A"/>
    <w:rsid w:val="005B4312"/>
    <w:rsid w:val="005B47FB"/>
    <w:rsid w:val="005B5345"/>
    <w:rsid w:val="005B6320"/>
    <w:rsid w:val="005C2C27"/>
    <w:rsid w:val="005C7217"/>
    <w:rsid w:val="005C798E"/>
    <w:rsid w:val="005D2E5B"/>
    <w:rsid w:val="005D36FC"/>
    <w:rsid w:val="005D37FB"/>
    <w:rsid w:val="005D4F00"/>
    <w:rsid w:val="005D580D"/>
    <w:rsid w:val="005D6030"/>
    <w:rsid w:val="005D6336"/>
    <w:rsid w:val="005D75FA"/>
    <w:rsid w:val="005E023B"/>
    <w:rsid w:val="005E1405"/>
    <w:rsid w:val="005E1F78"/>
    <w:rsid w:val="005E2222"/>
    <w:rsid w:val="005E40CF"/>
    <w:rsid w:val="005E5F33"/>
    <w:rsid w:val="005E6DEC"/>
    <w:rsid w:val="005F0C5D"/>
    <w:rsid w:val="005F1F3A"/>
    <w:rsid w:val="005F3AC2"/>
    <w:rsid w:val="005F3CCB"/>
    <w:rsid w:val="00603F3F"/>
    <w:rsid w:val="00604A81"/>
    <w:rsid w:val="00606D9A"/>
    <w:rsid w:val="00610453"/>
    <w:rsid w:val="00612AAC"/>
    <w:rsid w:val="00614488"/>
    <w:rsid w:val="00614E37"/>
    <w:rsid w:val="00620391"/>
    <w:rsid w:val="00620D98"/>
    <w:rsid w:val="00622D92"/>
    <w:rsid w:val="00622E31"/>
    <w:rsid w:val="006237F9"/>
    <w:rsid w:val="006266E2"/>
    <w:rsid w:val="006278F7"/>
    <w:rsid w:val="00627BBC"/>
    <w:rsid w:val="00632E34"/>
    <w:rsid w:val="00635C33"/>
    <w:rsid w:val="006369AC"/>
    <w:rsid w:val="00637FD7"/>
    <w:rsid w:val="006432C8"/>
    <w:rsid w:val="00644516"/>
    <w:rsid w:val="00644AA6"/>
    <w:rsid w:val="00645074"/>
    <w:rsid w:val="00650404"/>
    <w:rsid w:val="00655B4B"/>
    <w:rsid w:val="00656780"/>
    <w:rsid w:val="00656BF9"/>
    <w:rsid w:val="0066005C"/>
    <w:rsid w:val="0066014A"/>
    <w:rsid w:val="0066097F"/>
    <w:rsid w:val="00661C5D"/>
    <w:rsid w:val="0066315C"/>
    <w:rsid w:val="00663408"/>
    <w:rsid w:val="00663E01"/>
    <w:rsid w:val="006640AF"/>
    <w:rsid w:val="00664540"/>
    <w:rsid w:val="006651D5"/>
    <w:rsid w:val="00666EF3"/>
    <w:rsid w:val="00670D61"/>
    <w:rsid w:val="00671AD2"/>
    <w:rsid w:val="00671DE3"/>
    <w:rsid w:val="00672202"/>
    <w:rsid w:val="0067294F"/>
    <w:rsid w:val="00672A23"/>
    <w:rsid w:val="00672F30"/>
    <w:rsid w:val="00673519"/>
    <w:rsid w:val="00674941"/>
    <w:rsid w:val="00676034"/>
    <w:rsid w:val="0067747A"/>
    <w:rsid w:val="006810EC"/>
    <w:rsid w:val="0068521D"/>
    <w:rsid w:val="006865B6"/>
    <w:rsid w:val="00687756"/>
    <w:rsid w:val="00693694"/>
    <w:rsid w:val="00693974"/>
    <w:rsid w:val="0069545D"/>
    <w:rsid w:val="006A15EF"/>
    <w:rsid w:val="006A41E3"/>
    <w:rsid w:val="006A4A43"/>
    <w:rsid w:val="006A5C5F"/>
    <w:rsid w:val="006A5ED7"/>
    <w:rsid w:val="006A75E0"/>
    <w:rsid w:val="006B0E49"/>
    <w:rsid w:val="006B1D07"/>
    <w:rsid w:val="006B26D8"/>
    <w:rsid w:val="006B29F3"/>
    <w:rsid w:val="006B3384"/>
    <w:rsid w:val="006B34FE"/>
    <w:rsid w:val="006B3B0C"/>
    <w:rsid w:val="006B412C"/>
    <w:rsid w:val="006B53EE"/>
    <w:rsid w:val="006C2438"/>
    <w:rsid w:val="006C2AA0"/>
    <w:rsid w:val="006C2F15"/>
    <w:rsid w:val="006C3499"/>
    <w:rsid w:val="006C467C"/>
    <w:rsid w:val="006C5B19"/>
    <w:rsid w:val="006C75D5"/>
    <w:rsid w:val="006C76AA"/>
    <w:rsid w:val="006D1305"/>
    <w:rsid w:val="006D143B"/>
    <w:rsid w:val="006D374C"/>
    <w:rsid w:val="006D4C56"/>
    <w:rsid w:val="006D54E9"/>
    <w:rsid w:val="006D6941"/>
    <w:rsid w:val="006E154B"/>
    <w:rsid w:val="006E2414"/>
    <w:rsid w:val="006E2C72"/>
    <w:rsid w:val="006E2E9C"/>
    <w:rsid w:val="006E6A3C"/>
    <w:rsid w:val="006E71C2"/>
    <w:rsid w:val="006E7A19"/>
    <w:rsid w:val="006F075C"/>
    <w:rsid w:val="006F2EEF"/>
    <w:rsid w:val="006F4152"/>
    <w:rsid w:val="006F6AA8"/>
    <w:rsid w:val="006F7A7F"/>
    <w:rsid w:val="00700DEC"/>
    <w:rsid w:val="007050FE"/>
    <w:rsid w:val="00705264"/>
    <w:rsid w:val="00705F00"/>
    <w:rsid w:val="00706945"/>
    <w:rsid w:val="00707417"/>
    <w:rsid w:val="00707909"/>
    <w:rsid w:val="00707F9D"/>
    <w:rsid w:val="00713DAD"/>
    <w:rsid w:val="007143D4"/>
    <w:rsid w:val="007148F5"/>
    <w:rsid w:val="00721024"/>
    <w:rsid w:val="0072223D"/>
    <w:rsid w:val="00723660"/>
    <w:rsid w:val="0072375D"/>
    <w:rsid w:val="0072416C"/>
    <w:rsid w:val="00724BF7"/>
    <w:rsid w:val="00726DA1"/>
    <w:rsid w:val="007304BF"/>
    <w:rsid w:val="00732314"/>
    <w:rsid w:val="007334B0"/>
    <w:rsid w:val="00733517"/>
    <w:rsid w:val="007369E1"/>
    <w:rsid w:val="007377C0"/>
    <w:rsid w:val="007378C4"/>
    <w:rsid w:val="007406BF"/>
    <w:rsid w:val="00740A23"/>
    <w:rsid w:val="00740AA4"/>
    <w:rsid w:val="00741ED3"/>
    <w:rsid w:val="007455F0"/>
    <w:rsid w:val="00746159"/>
    <w:rsid w:val="007466EA"/>
    <w:rsid w:val="00746772"/>
    <w:rsid w:val="007471C3"/>
    <w:rsid w:val="00750802"/>
    <w:rsid w:val="007511F5"/>
    <w:rsid w:val="00751EF2"/>
    <w:rsid w:val="00754ABD"/>
    <w:rsid w:val="007551DA"/>
    <w:rsid w:val="0076050C"/>
    <w:rsid w:val="0076066B"/>
    <w:rsid w:val="0076304B"/>
    <w:rsid w:val="00763FBA"/>
    <w:rsid w:val="00765308"/>
    <w:rsid w:val="00766E27"/>
    <w:rsid w:val="00767C63"/>
    <w:rsid w:val="00767E95"/>
    <w:rsid w:val="0077029C"/>
    <w:rsid w:val="00771BAF"/>
    <w:rsid w:val="00771C6C"/>
    <w:rsid w:val="00772CEC"/>
    <w:rsid w:val="007746F1"/>
    <w:rsid w:val="007748F0"/>
    <w:rsid w:val="007755D5"/>
    <w:rsid w:val="007774D7"/>
    <w:rsid w:val="00777F55"/>
    <w:rsid w:val="0078126F"/>
    <w:rsid w:val="0078510B"/>
    <w:rsid w:val="007858CC"/>
    <w:rsid w:val="00792172"/>
    <w:rsid w:val="00792218"/>
    <w:rsid w:val="00794B2C"/>
    <w:rsid w:val="007961F1"/>
    <w:rsid w:val="00797AF3"/>
    <w:rsid w:val="007A0DDA"/>
    <w:rsid w:val="007A15C7"/>
    <w:rsid w:val="007A31B8"/>
    <w:rsid w:val="007A4C0D"/>
    <w:rsid w:val="007B2A7C"/>
    <w:rsid w:val="007B33CE"/>
    <w:rsid w:val="007B4158"/>
    <w:rsid w:val="007B4689"/>
    <w:rsid w:val="007B4800"/>
    <w:rsid w:val="007B650F"/>
    <w:rsid w:val="007C465D"/>
    <w:rsid w:val="007C4E38"/>
    <w:rsid w:val="007C60D9"/>
    <w:rsid w:val="007C668B"/>
    <w:rsid w:val="007C6EBA"/>
    <w:rsid w:val="007D0804"/>
    <w:rsid w:val="007D185F"/>
    <w:rsid w:val="007D18A9"/>
    <w:rsid w:val="007D1D93"/>
    <w:rsid w:val="007D272E"/>
    <w:rsid w:val="007D2DEB"/>
    <w:rsid w:val="007D2E8B"/>
    <w:rsid w:val="007D4900"/>
    <w:rsid w:val="007D54C0"/>
    <w:rsid w:val="007E30EC"/>
    <w:rsid w:val="007E338A"/>
    <w:rsid w:val="007E4030"/>
    <w:rsid w:val="007E6398"/>
    <w:rsid w:val="007E697C"/>
    <w:rsid w:val="007E776B"/>
    <w:rsid w:val="007F1490"/>
    <w:rsid w:val="007F3A75"/>
    <w:rsid w:val="007F5DFE"/>
    <w:rsid w:val="007F6674"/>
    <w:rsid w:val="007F691D"/>
    <w:rsid w:val="0080082C"/>
    <w:rsid w:val="00800B7A"/>
    <w:rsid w:val="0080114E"/>
    <w:rsid w:val="008015B3"/>
    <w:rsid w:val="0080249B"/>
    <w:rsid w:val="00803B9B"/>
    <w:rsid w:val="00805285"/>
    <w:rsid w:val="00805832"/>
    <w:rsid w:val="0080597B"/>
    <w:rsid w:val="008078B1"/>
    <w:rsid w:val="00810901"/>
    <w:rsid w:val="00811F74"/>
    <w:rsid w:val="0081270C"/>
    <w:rsid w:val="00812979"/>
    <w:rsid w:val="008144BF"/>
    <w:rsid w:val="008165A0"/>
    <w:rsid w:val="00817284"/>
    <w:rsid w:val="00817818"/>
    <w:rsid w:val="00820890"/>
    <w:rsid w:val="00821A31"/>
    <w:rsid w:val="00822011"/>
    <w:rsid w:val="00823924"/>
    <w:rsid w:val="0082423B"/>
    <w:rsid w:val="00824947"/>
    <w:rsid w:val="008325C2"/>
    <w:rsid w:val="00832951"/>
    <w:rsid w:val="00833047"/>
    <w:rsid w:val="00833D8F"/>
    <w:rsid w:val="00834FA4"/>
    <w:rsid w:val="00835788"/>
    <w:rsid w:val="00835F44"/>
    <w:rsid w:val="008360BD"/>
    <w:rsid w:val="008378E7"/>
    <w:rsid w:val="00837DAD"/>
    <w:rsid w:val="00840406"/>
    <w:rsid w:val="008408A9"/>
    <w:rsid w:val="00841ED1"/>
    <w:rsid w:val="00844197"/>
    <w:rsid w:val="008466BC"/>
    <w:rsid w:val="008469CB"/>
    <w:rsid w:val="00846E15"/>
    <w:rsid w:val="008504F7"/>
    <w:rsid w:val="00850A73"/>
    <w:rsid w:val="008516DC"/>
    <w:rsid w:val="00851C28"/>
    <w:rsid w:val="008522C5"/>
    <w:rsid w:val="00855246"/>
    <w:rsid w:val="00856F8B"/>
    <w:rsid w:val="00861358"/>
    <w:rsid w:val="00861493"/>
    <w:rsid w:val="00861DCE"/>
    <w:rsid w:val="0086201C"/>
    <w:rsid w:val="00862EC7"/>
    <w:rsid w:val="00864C3D"/>
    <w:rsid w:val="008652E1"/>
    <w:rsid w:val="00866341"/>
    <w:rsid w:val="0087021C"/>
    <w:rsid w:val="00870BB4"/>
    <w:rsid w:val="00871235"/>
    <w:rsid w:val="008734E9"/>
    <w:rsid w:val="00874987"/>
    <w:rsid w:val="00875B88"/>
    <w:rsid w:val="0088015E"/>
    <w:rsid w:val="0088069A"/>
    <w:rsid w:val="00880733"/>
    <w:rsid w:val="00881A0A"/>
    <w:rsid w:val="00881CDB"/>
    <w:rsid w:val="0088286B"/>
    <w:rsid w:val="00882AD0"/>
    <w:rsid w:val="00882BF9"/>
    <w:rsid w:val="00882D11"/>
    <w:rsid w:val="0088365C"/>
    <w:rsid w:val="00883AC8"/>
    <w:rsid w:val="00883AFD"/>
    <w:rsid w:val="008853A8"/>
    <w:rsid w:val="00890C83"/>
    <w:rsid w:val="00892C72"/>
    <w:rsid w:val="00893ED1"/>
    <w:rsid w:val="008946D6"/>
    <w:rsid w:val="00894FC8"/>
    <w:rsid w:val="008957B9"/>
    <w:rsid w:val="00896D5C"/>
    <w:rsid w:val="00897328"/>
    <w:rsid w:val="008A12F4"/>
    <w:rsid w:val="008A293B"/>
    <w:rsid w:val="008A3D28"/>
    <w:rsid w:val="008A463B"/>
    <w:rsid w:val="008A4F23"/>
    <w:rsid w:val="008A61D4"/>
    <w:rsid w:val="008A621F"/>
    <w:rsid w:val="008A658D"/>
    <w:rsid w:val="008A68AB"/>
    <w:rsid w:val="008B11C8"/>
    <w:rsid w:val="008B1871"/>
    <w:rsid w:val="008B45C0"/>
    <w:rsid w:val="008B729D"/>
    <w:rsid w:val="008C0290"/>
    <w:rsid w:val="008C0CE8"/>
    <w:rsid w:val="008C5230"/>
    <w:rsid w:val="008C7B6A"/>
    <w:rsid w:val="008D07FE"/>
    <w:rsid w:val="008D0A26"/>
    <w:rsid w:val="008D0F0B"/>
    <w:rsid w:val="008D2365"/>
    <w:rsid w:val="008D2DF8"/>
    <w:rsid w:val="008D54A5"/>
    <w:rsid w:val="008D5B21"/>
    <w:rsid w:val="008D63E7"/>
    <w:rsid w:val="008D739C"/>
    <w:rsid w:val="008E05A3"/>
    <w:rsid w:val="008E1A2C"/>
    <w:rsid w:val="008E21E7"/>
    <w:rsid w:val="008E2C9A"/>
    <w:rsid w:val="008E36C3"/>
    <w:rsid w:val="008E3BF9"/>
    <w:rsid w:val="008E4A4D"/>
    <w:rsid w:val="008E4D3D"/>
    <w:rsid w:val="008E4FFC"/>
    <w:rsid w:val="008F305D"/>
    <w:rsid w:val="008F4F95"/>
    <w:rsid w:val="008F4FA6"/>
    <w:rsid w:val="008F516F"/>
    <w:rsid w:val="00900664"/>
    <w:rsid w:val="00901213"/>
    <w:rsid w:val="009012BC"/>
    <w:rsid w:val="0090132A"/>
    <w:rsid w:val="00901389"/>
    <w:rsid w:val="00906327"/>
    <w:rsid w:val="009104EF"/>
    <w:rsid w:val="00910F3B"/>
    <w:rsid w:val="00911FDB"/>
    <w:rsid w:val="00913C44"/>
    <w:rsid w:val="00914615"/>
    <w:rsid w:val="00914EEC"/>
    <w:rsid w:val="00915260"/>
    <w:rsid w:val="009163D2"/>
    <w:rsid w:val="00916B3D"/>
    <w:rsid w:val="0092140A"/>
    <w:rsid w:val="00923465"/>
    <w:rsid w:val="00923BEE"/>
    <w:rsid w:val="00924240"/>
    <w:rsid w:val="00925125"/>
    <w:rsid w:val="009258BA"/>
    <w:rsid w:val="00930986"/>
    <w:rsid w:val="00933C64"/>
    <w:rsid w:val="0093431C"/>
    <w:rsid w:val="00935A01"/>
    <w:rsid w:val="00935DB0"/>
    <w:rsid w:val="00936B27"/>
    <w:rsid w:val="0094508F"/>
    <w:rsid w:val="00945BA5"/>
    <w:rsid w:val="0095021D"/>
    <w:rsid w:val="00952287"/>
    <w:rsid w:val="009531F3"/>
    <w:rsid w:val="00955BC8"/>
    <w:rsid w:val="009611C6"/>
    <w:rsid w:val="00963D81"/>
    <w:rsid w:val="00964AE8"/>
    <w:rsid w:val="00964B7F"/>
    <w:rsid w:val="00965740"/>
    <w:rsid w:val="00965D21"/>
    <w:rsid w:val="00965E8E"/>
    <w:rsid w:val="0096740F"/>
    <w:rsid w:val="0097123A"/>
    <w:rsid w:val="009719FA"/>
    <w:rsid w:val="009740C3"/>
    <w:rsid w:val="0097436A"/>
    <w:rsid w:val="0097758E"/>
    <w:rsid w:val="00982240"/>
    <w:rsid w:val="00983EEF"/>
    <w:rsid w:val="0098561B"/>
    <w:rsid w:val="009901D5"/>
    <w:rsid w:val="00991E64"/>
    <w:rsid w:val="009928A3"/>
    <w:rsid w:val="009934A7"/>
    <w:rsid w:val="00994550"/>
    <w:rsid w:val="009A0394"/>
    <w:rsid w:val="009A281C"/>
    <w:rsid w:val="009A4094"/>
    <w:rsid w:val="009A540F"/>
    <w:rsid w:val="009A549C"/>
    <w:rsid w:val="009A63CD"/>
    <w:rsid w:val="009A6B7D"/>
    <w:rsid w:val="009A75F6"/>
    <w:rsid w:val="009B1247"/>
    <w:rsid w:val="009B2D10"/>
    <w:rsid w:val="009B2FDC"/>
    <w:rsid w:val="009B369A"/>
    <w:rsid w:val="009B42B4"/>
    <w:rsid w:val="009B4C3D"/>
    <w:rsid w:val="009B7FEA"/>
    <w:rsid w:val="009C1505"/>
    <w:rsid w:val="009C1EF0"/>
    <w:rsid w:val="009C35DB"/>
    <w:rsid w:val="009C3764"/>
    <w:rsid w:val="009C4124"/>
    <w:rsid w:val="009C4525"/>
    <w:rsid w:val="009C56FC"/>
    <w:rsid w:val="009C5F8C"/>
    <w:rsid w:val="009C62B8"/>
    <w:rsid w:val="009D00DB"/>
    <w:rsid w:val="009D00F3"/>
    <w:rsid w:val="009D0598"/>
    <w:rsid w:val="009D0E19"/>
    <w:rsid w:val="009D0E69"/>
    <w:rsid w:val="009D24CD"/>
    <w:rsid w:val="009D3FB0"/>
    <w:rsid w:val="009D43BE"/>
    <w:rsid w:val="009D4AAD"/>
    <w:rsid w:val="009D4C0F"/>
    <w:rsid w:val="009D5281"/>
    <w:rsid w:val="009D53D1"/>
    <w:rsid w:val="009D5B3C"/>
    <w:rsid w:val="009D63F7"/>
    <w:rsid w:val="009D6E8F"/>
    <w:rsid w:val="009E0959"/>
    <w:rsid w:val="009E1F91"/>
    <w:rsid w:val="009E27E6"/>
    <w:rsid w:val="009E43C7"/>
    <w:rsid w:val="009E4679"/>
    <w:rsid w:val="009E663B"/>
    <w:rsid w:val="009F0F07"/>
    <w:rsid w:val="009F2A9A"/>
    <w:rsid w:val="009F369B"/>
    <w:rsid w:val="009F4658"/>
    <w:rsid w:val="009F4DD3"/>
    <w:rsid w:val="009F5644"/>
    <w:rsid w:val="009F67FC"/>
    <w:rsid w:val="009F7C86"/>
    <w:rsid w:val="009F7FE8"/>
    <w:rsid w:val="00A00A2C"/>
    <w:rsid w:val="00A00B1C"/>
    <w:rsid w:val="00A014C5"/>
    <w:rsid w:val="00A018FD"/>
    <w:rsid w:val="00A0417A"/>
    <w:rsid w:val="00A046BD"/>
    <w:rsid w:val="00A048B9"/>
    <w:rsid w:val="00A04F64"/>
    <w:rsid w:val="00A06029"/>
    <w:rsid w:val="00A06382"/>
    <w:rsid w:val="00A0665B"/>
    <w:rsid w:val="00A103EC"/>
    <w:rsid w:val="00A10F01"/>
    <w:rsid w:val="00A11BAE"/>
    <w:rsid w:val="00A13C80"/>
    <w:rsid w:val="00A147B9"/>
    <w:rsid w:val="00A15196"/>
    <w:rsid w:val="00A172E3"/>
    <w:rsid w:val="00A20FB8"/>
    <w:rsid w:val="00A22675"/>
    <w:rsid w:val="00A228F3"/>
    <w:rsid w:val="00A23408"/>
    <w:rsid w:val="00A240F7"/>
    <w:rsid w:val="00A2554E"/>
    <w:rsid w:val="00A256C6"/>
    <w:rsid w:val="00A26D61"/>
    <w:rsid w:val="00A27644"/>
    <w:rsid w:val="00A2782C"/>
    <w:rsid w:val="00A27F9D"/>
    <w:rsid w:val="00A304C9"/>
    <w:rsid w:val="00A32473"/>
    <w:rsid w:val="00A33A61"/>
    <w:rsid w:val="00A33F4F"/>
    <w:rsid w:val="00A34E36"/>
    <w:rsid w:val="00A36487"/>
    <w:rsid w:val="00A368DE"/>
    <w:rsid w:val="00A36B89"/>
    <w:rsid w:val="00A4093C"/>
    <w:rsid w:val="00A43374"/>
    <w:rsid w:val="00A433BB"/>
    <w:rsid w:val="00A433C2"/>
    <w:rsid w:val="00A440DC"/>
    <w:rsid w:val="00A44502"/>
    <w:rsid w:val="00A44891"/>
    <w:rsid w:val="00A44DB0"/>
    <w:rsid w:val="00A44DE5"/>
    <w:rsid w:val="00A454A2"/>
    <w:rsid w:val="00A4585E"/>
    <w:rsid w:val="00A47DCA"/>
    <w:rsid w:val="00A502BE"/>
    <w:rsid w:val="00A52C00"/>
    <w:rsid w:val="00A53B6A"/>
    <w:rsid w:val="00A54400"/>
    <w:rsid w:val="00A57D3F"/>
    <w:rsid w:val="00A60A12"/>
    <w:rsid w:val="00A63DEB"/>
    <w:rsid w:val="00A65062"/>
    <w:rsid w:val="00A66335"/>
    <w:rsid w:val="00A66D6D"/>
    <w:rsid w:val="00A7237D"/>
    <w:rsid w:val="00A7343A"/>
    <w:rsid w:val="00A737D9"/>
    <w:rsid w:val="00A740E2"/>
    <w:rsid w:val="00A74D06"/>
    <w:rsid w:val="00A76010"/>
    <w:rsid w:val="00A80E2F"/>
    <w:rsid w:val="00A811B5"/>
    <w:rsid w:val="00A8529C"/>
    <w:rsid w:val="00A86B45"/>
    <w:rsid w:val="00A86EDD"/>
    <w:rsid w:val="00A872CB"/>
    <w:rsid w:val="00A9034C"/>
    <w:rsid w:val="00A90DB4"/>
    <w:rsid w:val="00A93242"/>
    <w:rsid w:val="00A94805"/>
    <w:rsid w:val="00A951D9"/>
    <w:rsid w:val="00A952F4"/>
    <w:rsid w:val="00A96CF8"/>
    <w:rsid w:val="00AA073F"/>
    <w:rsid w:val="00AA14E6"/>
    <w:rsid w:val="00AA1ACF"/>
    <w:rsid w:val="00AA47BB"/>
    <w:rsid w:val="00AA4AEB"/>
    <w:rsid w:val="00AA50C1"/>
    <w:rsid w:val="00AA538C"/>
    <w:rsid w:val="00AA577C"/>
    <w:rsid w:val="00AA5890"/>
    <w:rsid w:val="00AA665D"/>
    <w:rsid w:val="00AA6D4E"/>
    <w:rsid w:val="00AA6ECA"/>
    <w:rsid w:val="00AA75CA"/>
    <w:rsid w:val="00AA776E"/>
    <w:rsid w:val="00AA794A"/>
    <w:rsid w:val="00AA7BE2"/>
    <w:rsid w:val="00AB1206"/>
    <w:rsid w:val="00AB3300"/>
    <w:rsid w:val="00AB3899"/>
    <w:rsid w:val="00AB4BD0"/>
    <w:rsid w:val="00AB688A"/>
    <w:rsid w:val="00AC0FFA"/>
    <w:rsid w:val="00AC1E2D"/>
    <w:rsid w:val="00AC5FA0"/>
    <w:rsid w:val="00AD120C"/>
    <w:rsid w:val="00AD1D02"/>
    <w:rsid w:val="00AD31E8"/>
    <w:rsid w:val="00AD3F1C"/>
    <w:rsid w:val="00AD4E70"/>
    <w:rsid w:val="00AE048D"/>
    <w:rsid w:val="00AE3816"/>
    <w:rsid w:val="00AE46B3"/>
    <w:rsid w:val="00AE619B"/>
    <w:rsid w:val="00AE73CB"/>
    <w:rsid w:val="00AF04CF"/>
    <w:rsid w:val="00AF1400"/>
    <w:rsid w:val="00AF1AC7"/>
    <w:rsid w:val="00AF50C6"/>
    <w:rsid w:val="00AF5384"/>
    <w:rsid w:val="00AF65C5"/>
    <w:rsid w:val="00AF77F2"/>
    <w:rsid w:val="00B01583"/>
    <w:rsid w:val="00B0343E"/>
    <w:rsid w:val="00B04BEE"/>
    <w:rsid w:val="00B05879"/>
    <w:rsid w:val="00B06F45"/>
    <w:rsid w:val="00B11B95"/>
    <w:rsid w:val="00B11BA0"/>
    <w:rsid w:val="00B12079"/>
    <w:rsid w:val="00B12A66"/>
    <w:rsid w:val="00B14453"/>
    <w:rsid w:val="00B20759"/>
    <w:rsid w:val="00B2136F"/>
    <w:rsid w:val="00B22722"/>
    <w:rsid w:val="00B22E07"/>
    <w:rsid w:val="00B233E9"/>
    <w:rsid w:val="00B24BFA"/>
    <w:rsid w:val="00B24E79"/>
    <w:rsid w:val="00B270B8"/>
    <w:rsid w:val="00B270F9"/>
    <w:rsid w:val="00B27DD5"/>
    <w:rsid w:val="00B30359"/>
    <w:rsid w:val="00B33CD3"/>
    <w:rsid w:val="00B35DE2"/>
    <w:rsid w:val="00B40E46"/>
    <w:rsid w:val="00B40EC1"/>
    <w:rsid w:val="00B41357"/>
    <w:rsid w:val="00B438D4"/>
    <w:rsid w:val="00B43CE3"/>
    <w:rsid w:val="00B46366"/>
    <w:rsid w:val="00B474AB"/>
    <w:rsid w:val="00B5034B"/>
    <w:rsid w:val="00B51A5C"/>
    <w:rsid w:val="00B51E77"/>
    <w:rsid w:val="00B52A17"/>
    <w:rsid w:val="00B52A74"/>
    <w:rsid w:val="00B55191"/>
    <w:rsid w:val="00B56EA9"/>
    <w:rsid w:val="00B57625"/>
    <w:rsid w:val="00B6096B"/>
    <w:rsid w:val="00B60C4E"/>
    <w:rsid w:val="00B60C6F"/>
    <w:rsid w:val="00B648EC"/>
    <w:rsid w:val="00B653A2"/>
    <w:rsid w:val="00B71680"/>
    <w:rsid w:val="00B71FE8"/>
    <w:rsid w:val="00B72484"/>
    <w:rsid w:val="00B72807"/>
    <w:rsid w:val="00B748D1"/>
    <w:rsid w:val="00B76907"/>
    <w:rsid w:val="00B80AC5"/>
    <w:rsid w:val="00B80B0A"/>
    <w:rsid w:val="00B80B82"/>
    <w:rsid w:val="00B80F3C"/>
    <w:rsid w:val="00B8103C"/>
    <w:rsid w:val="00B81D08"/>
    <w:rsid w:val="00B83A51"/>
    <w:rsid w:val="00B84AFA"/>
    <w:rsid w:val="00B8566F"/>
    <w:rsid w:val="00B90D60"/>
    <w:rsid w:val="00B911C8"/>
    <w:rsid w:val="00B9162C"/>
    <w:rsid w:val="00B93D96"/>
    <w:rsid w:val="00B9519E"/>
    <w:rsid w:val="00B956B2"/>
    <w:rsid w:val="00B96CBB"/>
    <w:rsid w:val="00BA14DA"/>
    <w:rsid w:val="00BA3487"/>
    <w:rsid w:val="00BA35AD"/>
    <w:rsid w:val="00BA50FB"/>
    <w:rsid w:val="00BA64F3"/>
    <w:rsid w:val="00BA7021"/>
    <w:rsid w:val="00BA75B4"/>
    <w:rsid w:val="00BB0407"/>
    <w:rsid w:val="00BB0B43"/>
    <w:rsid w:val="00BB40A6"/>
    <w:rsid w:val="00BB64AB"/>
    <w:rsid w:val="00BB6EB1"/>
    <w:rsid w:val="00BB7115"/>
    <w:rsid w:val="00BC049D"/>
    <w:rsid w:val="00BC3D62"/>
    <w:rsid w:val="00BC3E42"/>
    <w:rsid w:val="00BC5D24"/>
    <w:rsid w:val="00BC608B"/>
    <w:rsid w:val="00BC7608"/>
    <w:rsid w:val="00BC7BEF"/>
    <w:rsid w:val="00BD1A64"/>
    <w:rsid w:val="00BD5BA4"/>
    <w:rsid w:val="00BD62AE"/>
    <w:rsid w:val="00BE49C3"/>
    <w:rsid w:val="00BE506B"/>
    <w:rsid w:val="00BE5E1C"/>
    <w:rsid w:val="00BE6AAD"/>
    <w:rsid w:val="00BE6CCF"/>
    <w:rsid w:val="00BF02F9"/>
    <w:rsid w:val="00BF0655"/>
    <w:rsid w:val="00BF58BE"/>
    <w:rsid w:val="00BF596C"/>
    <w:rsid w:val="00BF6D87"/>
    <w:rsid w:val="00BF7605"/>
    <w:rsid w:val="00C02588"/>
    <w:rsid w:val="00C02DB8"/>
    <w:rsid w:val="00C0357A"/>
    <w:rsid w:val="00C05F4C"/>
    <w:rsid w:val="00C0684A"/>
    <w:rsid w:val="00C07FC5"/>
    <w:rsid w:val="00C100BC"/>
    <w:rsid w:val="00C121C8"/>
    <w:rsid w:val="00C127F3"/>
    <w:rsid w:val="00C13952"/>
    <w:rsid w:val="00C14634"/>
    <w:rsid w:val="00C14FCF"/>
    <w:rsid w:val="00C1540D"/>
    <w:rsid w:val="00C21F34"/>
    <w:rsid w:val="00C2209C"/>
    <w:rsid w:val="00C2488E"/>
    <w:rsid w:val="00C3039C"/>
    <w:rsid w:val="00C34594"/>
    <w:rsid w:val="00C34BBE"/>
    <w:rsid w:val="00C37213"/>
    <w:rsid w:val="00C378E6"/>
    <w:rsid w:val="00C421DF"/>
    <w:rsid w:val="00C426B0"/>
    <w:rsid w:val="00C453D9"/>
    <w:rsid w:val="00C46107"/>
    <w:rsid w:val="00C50011"/>
    <w:rsid w:val="00C5021B"/>
    <w:rsid w:val="00C50471"/>
    <w:rsid w:val="00C51668"/>
    <w:rsid w:val="00C527DC"/>
    <w:rsid w:val="00C5430F"/>
    <w:rsid w:val="00C54DC3"/>
    <w:rsid w:val="00C57E08"/>
    <w:rsid w:val="00C63CF5"/>
    <w:rsid w:val="00C64E44"/>
    <w:rsid w:val="00C656A7"/>
    <w:rsid w:val="00C662E9"/>
    <w:rsid w:val="00C66446"/>
    <w:rsid w:val="00C67C90"/>
    <w:rsid w:val="00C70ECB"/>
    <w:rsid w:val="00C73B66"/>
    <w:rsid w:val="00C75086"/>
    <w:rsid w:val="00C762AA"/>
    <w:rsid w:val="00C76934"/>
    <w:rsid w:val="00C76EC1"/>
    <w:rsid w:val="00C7785F"/>
    <w:rsid w:val="00C8045F"/>
    <w:rsid w:val="00C805B3"/>
    <w:rsid w:val="00C80EE3"/>
    <w:rsid w:val="00C81D9E"/>
    <w:rsid w:val="00C83823"/>
    <w:rsid w:val="00C8486D"/>
    <w:rsid w:val="00C84F07"/>
    <w:rsid w:val="00C85AFA"/>
    <w:rsid w:val="00C86892"/>
    <w:rsid w:val="00C86FF3"/>
    <w:rsid w:val="00C90D9A"/>
    <w:rsid w:val="00C91B6D"/>
    <w:rsid w:val="00C92706"/>
    <w:rsid w:val="00C948C1"/>
    <w:rsid w:val="00C94D6F"/>
    <w:rsid w:val="00C956A6"/>
    <w:rsid w:val="00C97308"/>
    <w:rsid w:val="00C97633"/>
    <w:rsid w:val="00CA05CD"/>
    <w:rsid w:val="00CA0654"/>
    <w:rsid w:val="00CA1687"/>
    <w:rsid w:val="00CA1CA6"/>
    <w:rsid w:val="00CA216C"/>
    <w:rsid w:val="00CA4313"/>
    <w:rsid w:val="00CA6D35"/>
    <w:rsid w:val="00CA7836"/>
    <w:rsid w:val="00CB1C49"/>
    <w:rsid w:val="00CB2121"/>
    <w:rsid w:val="00CB566E"/>
    <w:rsid w:val="00CB56E3"/>
    <w:rsid w:val="00CB5842"/>
    <w:rsid w:val="00CB5C34"/>
    <w:rsid w:val="00CB5EC0"/>
    <w:rsid w:val="00CB70D0"/>
    <w:rsid w:val="00CC0AEC"/>
    <w:rsid w:val="00CC1294"/>
    <w:rsid w:val="00CC1432"/>
    <w:rsid w:val="00CC199D"/>
    <w:rsid w:val="00CC3AB1"/>
    <w:rsid w:val="00CC43B2"/>
    <w:rsid w:val="00CC6E7A"/>
    <w:rsid w:val="00CD13A8"/>
    <w:rsid w:val="00CD661D"/>
    <w:rsid w:val="00CE242E"/>
    <w:rsid w:val="00CE2C8C"/>
    <w:rsid w:val="00CE6C45"/>
    <w:rsid w:val="00CF3967"/>
    <w:rsid w:val="00CF3C8E"/>
    <w:rsid w:val="00CF4428"/>
    <w:rsid w:val="00CF5048"/>
    <w:rsid w:val="00CF5BBA"/>
    <w:rsid w:val="00CF5C91"/>
    <w:rsid w:val="00CF61EE"/>
    <w:rsid w:val="00CF65C0"/>
    <w:rsid w:val="00D00686"/>
    <w:rsid w:val="00D006A7"/>
    <w:rsid w:val="00D00C3B"/>
    <w:rsid w:val="00D01074"/>
    <w:rsid w:val="00D01709"/>
    <w:rsid w:val="00D021AB"/>
    <w:rsid w:val="00D02DE8"/>
    <w:rsid w:val="00D0662E"/>
    <w:rsid w:val="00D11DF0"/>
    <w:rsid w:val="00D12BF4"/>
    <w:rsid w:val="00D137BC"/>
    <w:rsid w:val="00D14BDE"/>
    <w:rsid w:val="00D14C02"/>
    <w:rsid w:val="00D164BF"/>
    <w:rsid w:val="00D17BBA"/>
    <w:rsid w:val="00D22181"/>
    <w:rsid w:val="00D2320E"/>
    <w:rsid w:val="00D24CE6"/>
    <w:rsid w:val="00D25F12"/>
    <w:rsid w:val="00D3369A"/>
    <w:rsid w:val="00D33F30"/>
    <w:rsid w:val="00D40AAB"/>
    <w:rsid w:val="00D417CF"/>
    <w:rsid w:val="00D420D5"/>
    <w:rsid w:val="00D445D2"/>
    <w:rsid w:val="00D44DC1"/>
    <w:rsid w:val="00D47342"/>
    <w:rsid w:val="00D47E2B"/>
    <w:rsid w:val="00D500C1"/>
    <w:rsid w:val="00D50640"/>
    <w:rsid w:val="00D50B68"/>
    <w:rsid w:val="00D5143A"/>
    <w:rsid w:val="00D52653"/>
    <w:rsid w:val="00D52EC6"/>
    <w:rsid w:val="00D56162"/>
    <w:rsid w:val="00D577C9"/>
    <w:rsid w:val="00D6217D"/>
    <w:rsid w:val="00D62202"/>
    <w:rsid w:val="00D63508"/>
    <w:rsid w:val="00D64DBA"/>
    <w:rsid w:val="00D64DE1"/>
    <w:rsid w:val="00D67A5B"/>
    <w:rsid w:val="00D67D79"/>
    <w:rsid w:val="00D7148F"/>
    <w:rsid w:val="00D71617"/>
    <w:rsid w:val="00D71ADD"/>
    <w:rsid w:val="00D7223C"/>
    <w:rsid w:val="00D7231E"/>
    <w:rsid w:val="00D72C0C"/>
    <w:rsid w:val="00D7317C"/>
    <w:rsid w:val="00D73974"/>
    <w:rsid w:val="00D74DD3"/>
    <w:rsid w:val="00D76DDF"/>
    <w:rsid w:val="00D77363"/>
    <w:rsid w:val="00D80A1B"/>
    <w:rsid w:val="00D829BE"/>
    <w:rsid w:val="00D85A69"/>
    <w:rsid w:val="00D85DAA"/>
    <w:rsid w:val="00D9159A"/>
    <w:rsid w:val="00D92850"/>
    <w:rsid w:val="00D96052"/>
    <w:rsid w:val="00D96F38"/>
    <w:rsid w:val="00D978ED"/>
    <w:rsid w:val="00DA0A23"/>
    <w:rsid w:val="00DA15F2"/>
    <w:rsid w:val="00DA1AFC"/>
    <w:rsid w:val="00DA277E"/>
    <w:rsid w:val="00DA32E4"/>
    <w:rsid w:val="00DA3E50"/>
    <w:rsid w:val="00DA75FA"/>
    <w:rsid w:val="00DB08FE"/>
    <w:rsid w:val="00DB0A01"/>
    <w:rsid w:val="00DB0DC8"/>
    <w:rsid w:val="00DB1B66"/>
    <w:rsid w:val="00DB2EBB"/>
    <w:rsid w:val="00DB34DC"/>
    <w:rsid w:val="00DB410F"/>
    <w:rsid w:val="00DB5338"/>
    <w:rsid w:val="00DC0D77"/>
    <w:rsid w:val="00DC1EB2"/>
    <w:rsid w:val="00DC480E"/>
    <w:rsid w:val="00DC6573"/>
    <w:rsid w:val="00DC662E"/>
    <w:rsid w:val="00DC6693"/>
    <w:rsid w:val="00DC6C5B"/>
    <w:rsid w:val="00DD092B"/>
    <w:rsid w:val="00DD13A3"/>
    <w:rsid w:val="00DD2511"/>
    <w:rsid w:val="00DD3F03"/>
    <w:rsid w:val="00DD4DD8"/>
    <w:rsid w:val="00DD5872"/>
    <w:rsid w:val="00DD7DF2"/>
    <w:rsid w:val="00DE1911"/>
    <w:rsid w:val="00DE1C04"/>
    <w:rsid w:val="00DE548B"/>
    <w:rsid w:val="00DE5F97"/>
    <w:rsid w:val="00DE6404"/>
    <w:rsid w:val="00DE7707"/>
    <w:rsid w:val="00DF0ABA"/>
    <w:rsid w:val="00DF2234"/>
    <w:rsid w:val="00DF5CD7"/>
    <w:rsid w:val="00DF65C2"/>
    <w:rsid w:val="00E00B41"/>
    <w:rsid w:val="00E035CD"/>
    <w:rsid w:val="00E046EA"/>
    <w:rsid w:val="00E04EC8"/>
    <w:rsid w:val="00E05E47"/>
    <w:rsid w:val="00E06C30"/>
    <w:rsid w:val="00E06F87"/>
    <w:rsid w:val="00E12B4A"/>
    <w:rsid w:val="00E136F2"/>
    <w:rsid w:val="00E13F06"/>
    <w:rsid w:val="00E14DBD"/>
    <w:rsid w:val="00E15B18"/>
    <w:rsid w:val="00E2064E"/>
    <w:rsid w:val="00E24E06"/>
    <w:rsid w:val="00E25A6E"/>
    <w:rsid w:val="00E25EC2"/>
    <w:rsid w:val="00E26DA1"/>
    <w:rsid w:val="00E30A36"/>
    <w:rsid w:val="00E30C56"/>
    <w:rsid w:val="00E31649"/>
    <w:rsid w:val="00E31B83"/>
    <w:rsid w:val="00E35E7D"/>
    <w:rsid w:val="00E36AC9"/>
    <w:rsid w:val="00E37321"/>
    <w:rsid w:val="00E4055F"/>
    <w:rsid w:val="00E40882"/>
    <w:rsid w:val="00E40928"/>
    <w:rsid w:val="00E4183E"/>
    <w:rsid w:val="00E42199"/>
    <w:rsid w:val="00E426DD"/>
    <w:rsid w:val="00E43AFE"/>
    <w:rsid w:val="00E44D49"/>
    <w:rsid w:val="00E44EFC"/>
    <w:rsid w:val="00E50B24"/>
    <w:rsid w:val="00E51D9E"/>
    <w:rsid w:val="00E5222D"/>
    <w:rsid w:val="00E52770"/>
    <w:rsid w:val="00E52AFD"/>
    <w:rsid w:val="00E53B91"/>
    <w:rsid w:val="00E54544"/>
    <w:rsid w:val="00E54775"/>
    <w:rsid w:val="00E547E4"/>
    <w:rsid w:val="00E5500E"/>
    <w:rsid w:val="00E61BDC"/>
    <w:rsid w:val="00E64A33"/>
    <w:rsid w:val="00E651C5"/>
    <w:rsid w:val="00E6529B"/>
    <w:rsid w:val="00E66599"/>
    <w:rsid w:val="00E66B7B"/>
    <w:rsid w:val="00E66CCA"/>
    <w:rsid w:val="00E6772C"/>
    <w:rsid w:val="00E71B62"/>
    <w:rsid w:val="00E76424"/>
    <w:rsid w:val="00E76A76"/>
    <w:rsid w:val="00E77D24"/>
    <w:rsid w:val="00E83E83"/>
    <w:rsid w:val="00E85CBF"/>
    <w:rsid w:val="00E90350"/>
    <w:rsid w:val="00E909A9"/>
    <w:rsid w:val="00E910AF"/>
    <w:rsid w:val="00E92E7F"/>
    <w:rsid w:val="00E95523"/>
    <w:rsid w:val="00E962E1"/>
    <w:rsid w:val="00EA0AEB"/>
    <w:rsid w:val="00EA1B47"/>
    <w:rsid w:val="00EA2B1F"/>
    <w:rsid w:val="00EA3979"/>
    <w:rsid w:val="00EA3EB8"/>
    <w:rsid w:val="00EA4166"/>
    <w:rsid w:val="00EA4B40"/>
    <w:rsid w:val="00EA4C34"/>
    <w:rsid w:val="00EA67F3"/>
    <w:rsid w:val="00EA68C9"/>
    <w:rsid w:val="00EA6922"/>
    <w:rsid w:val="00EB10D5"/>
    <w:rsid w:val="00EB1457"/>
    <w:rsid w:val="00EB21D9"/>
    <w:rsid w:val="00EB3A27"/>
    <w:rsid w:val="00EB621D"/>
    <w:rsid w:val="00EB6D35"/>
    <w:rsid w:val="00EB7B26"/>
    <w:rsid w:val="00EC14B6"/>
    <w:rsid w:val="00EC245C"/>
    <w:rsid w:val="00EC2E75"/>
    <w:rsid w:val="00EC64F4"/>
    <w:rsid w:val="00ED1421"/>
    <w:rsid w:val="00ED27AA"/>
    <w:rsid w:val="00ED3718"/>
    <w:rsid w:val="00ED3C9B"/>
    <w:rsid w:val="00ED46BA"/>
    <w:rsid w:val="00ED4CF0"/>
    <w:rsid w:val="00ED53E7"/>
    <w:rsid w:val="00ED6392"/>
    <w:rsid w:val="00ED66EF"/>
    <w:rsid w:val="00EE2DB9"/>
    <w:rsid w:val="00EE4B7F"/>
    <w:rsid w:val="00EE63FF"/>
    <w:rsid w:val="00EE650E"/>
    <w:rsid w:val="00EE7A49"/>
    <w:rsid w:val="00EF0366"/>
    <w:rsid w:val="00EF30C6"/>
    <w:rsid w:val="00EF3478"/>
    <w:rsid w:val="00EF43F7"/>
    <w:rsid w:val="00EF4CC4"/>
    <w:rsid w:val="00EF5CAD"/>
    <w:rsid w:val="00EF6CA5"/>
    <w:rsid w:val="00EF7879"/>
    <w:rsid w:val="00F007FE"/>
    <w:rsid w:val="00F06262"/>
    <w:rsid w:val="00F06ABE"/>
    <w:rsid w:val="00F0708E"/>
    <w:rsid w:val="00F07E63"/>
    <w:rsid w:val="00F12A88"/>
    <w:rsid w:val="00F13AD0"/>
    <w:rsid w:val="00F13B49"/>
    <w:rsid w:val="00F15181"/>
    <w:rsid w:val="00F1567D"/>
    <w:rsid w:val="00F167F8"/>
    <w:rsid w:val="00F20206"/>
    <w:rsid w:val="00F21410"/>
    <w:rsid w:val="00F22042"/>
    <w:rsid w:val="00F24988"/>
    <w:rsid w:val="00F254C2"/>
    <w:rsid w:val="00F259BF"/>
    <w:rsid w:val="00F322A9"/>
    <w:rsid w:val="00F365D9"/>
    <w:rsid w:val="00F37243"/>
    <w:rsid w:val="00F41426"/>
    <w:rsid w:val="00F4317D"/>
    <w:rsid w:val="00F43FEE"/>
    <w:rsid w:val="00F468B7"/>
    <w:rsid w:val="00F47610"/>
    <w:rsid w:val="00F47A8C"/>
    <w:rsid w:val="00F533B3"/>
    <w:rsid w:val="00F53486"/>
    <w:rsid w:val="00F549DC"/>
    <w:rsid w:val="00F5544D"/>
    <w:rsid w:val="00F610B9"/>
    <w:rsid w:val="00F6531C"/>
    <w:rsid w:val="00F65A2A"/>
    <w:rsid w:val="00F7143C"/>
    <w:rsid w:val="00F73093"/>
    <w:rsid w:val="00F730AB"/>
    <w:rsid w:val="00F74500"/>
    <w:rsid w:val="00F74525"/>
    <w:rsid w:val="00F770EC"/>
    <w:rsid w:val="00F77C82"/>
    <w:rsid w:val="00F77DC2"/>
    <w:rsid w:val="00F80386"/>
    <w:rsid w:val="00F83DDB"/>
    <w:rsid w:val="00F83E3A"/>
    <w:rsid w:val="00F8433B"/>
    <w:rsid w:val="00F84707"/>
    <w:rsid w:val="00F847A1"/>
    <w:rsid w:val="00F86AC9"/>
    <w:rsid w:val="00F9214B"/>
    <w:rsid w:val="00F92C7D"/>
    <w:rsid w:val="00F93D4A"/>
    <w:rsid w:val="00F94A0D"/>
    <w:rsid w:val="00FA186B"/>
    <w:rsid w:val="00FA27B7"/>
    <w:rsid w:val="00FA36DD"/>
    <w:rsid w:val="00FA6119"/>
    <w:rsid w:val="00FA79CC"/>
    <w:rsid w:val="00FB001E"/>
    <w:rsid w:val="00FB0689"/>
    <w:rsid w:val="00FB1BD4"/>
    <w:rsid w:val="00FB276F"/>
    <w:rsid w:val="00FB376B"/>
    <w:rsid w:val="00FB4377"/>
    <w:rsid w:val="00FB441E"/>
    <w:rsid w:val="00FB5076"/>
    <w:rsid w:val="00FB51E1"/>
    <w:rsid w:val="00FB5486"/>
    <w:rsid w:val="00FB6421"/>
    <w:rsid w:val="00FC13A5"/>
    <w:rsid w:val="00FC4344"/>
    <w:rsid w:val="00FC5A5E"/>
    <w:rsid w:val="00FC7E93"/>
    <w:rsid w:val="00FD42C9"/>
    <w:rsid w:val="00FD536F"/>
    <w:rsid w:val="00FD6AB5"/>
    <w:rsid w:val="00FE063D"/>
    <w:rsid w:val="00FE2292"/>
    <w:rsid w:val="00FE22C7"/>
    <w:rsid w:val="00FE32C9"/>
    <w:rsid w:val="00FE3530"/>
    <w:rsid w:val="00FE4253"/>
    <w:rsid w:val="00FE54DD"/>
    <w:rsid w:val="00FE5534"/>
    <w:rsid w:val="00FE627B"/>
    <w:rsid w:val="00FE7CCD"/>
    <w:rsid w:val="00FF0EC8"/>
    <w:rsid w:val="00FF191E"/>
    <w:rsid w:val="00FF23DB"/>
    <w:rsid w:val="00FF50B5"/>
    <w:rsid w:val="00FF5B7A"/>
    <w:rsid w:val="00FF7A6D"/>
    <w:rsid w:val="00FF7D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22011B"/>
  <w15:docId w15:val="{D10AC133-0557-425F-B1DD-CDC5FB8C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00">
    <w:name w:val="(a)-00.00"/>
    <w:basedOn w:val="Normal"/>
    <w:link w:val="a-0000Char"/>
    <w:rsid w:val="00503B86"/>
    <w:pPr>
      <w:tabs>
        <w:tab w:val="left" w:pos="567"/>
        <w:tab w:val="left" w:pos="907"/>
      </w:tabs>
      <w:spacing w:before="40" w:after="0" w:line="200" w:lineRule="exact"/>
      <w:ind w:left="907" w:hanging="907"/>
      <w:jc w:val="both"/>
    </w:pPr>
    <w:rPr>
      <w:rFonts w:ascii="Helvetica-Light" w:eastAsia="Times New Roman" w:hAnsi="Helvetica-Light" w:cs="Times New Roman"/>
      <w:sz w:val="18"/>
      <w:szCs w:val="20"/>
      <w:lang w:val="en-GB"/>
    </w:rPr>
  </w:style>
  <w:style w:type="character" w:customStyle="1" w:styleId="a-0000Char">
    <w:name w:val="(a)-00.00 Char"/>
    <w:link w:val="a-0000"/>
    <w:locked/>
    <w:rsid w:val="00503B86"/>
    <w:rPr>
      <w:rFonts w:ascii="Helvetica-Light" w:eastAsia="Times New Roman" w:hAnsi="Helvetica-Light" w:cs="Times New Roman"/>
      <w:sz w:val="18"/>
      <w:szCs w:val="20"/>
      <w:lang w:val="en-GB"/>
    </w:rPr>
  </w:style>
  <w:style w:type="paragraph" w:styleId="ListParagraph">
    <w:name w:val="List Paragraph"/>
    <w:basedOn w:val="Normal"/>
    <w:link w:val="ListParagraphChar"/>
    <w:uiPriority w:val="34"/>
    <w:qFormat/>
    <w:rsid w:val="002B15EE"/>
    <w:pPr>
      <w:spacing w:after="0" w:line="312" w:lineRule="auto"/>
      <w:ind w:left="720"/>
      <w:contextualSpacing/>
    </w:pPr>
    <w:rPr>
      <w:rFonts w:ascii="Arial" w:eastAsia="Times" w:hAnsi="Arial" w:cs="Times New Roman"/>
      <w:sz w:val="20"/>
      <w:szCs w:val="20"/>
    </w:rPr>
  </w:style>
  <w:style w:type="paragraph" w:customStyle="1" w:styleId="a-000">
    <w:name w:val="(a)-0.00"/>
    <w:basedOn w:val="Normal"/>
    <w:rsid w:val="008E21E7"/>
    <w:pPr>
      <w:widowControl w:val="0"/>
      <w:tabs>
        <w:tab w:val="left" w:pos="794"/>
        <w:tab w:val="left" w:pos="1304"/>
      </w:tabs>
      <w:spacing w:before="120" w:after="0" w:line="240" w:lineRule="auto"/>
      <w:ind w:left="1304" w:hanging="1304"/>
      <w:jc w:val="both"/>
    </w:pPr>
    <w:rPr>
      <w:rFonts w:ascii="Times New Roman" w:eastAsia="Times New Roman" w:hAnsi="Times New Roman" w:cs="Times New Roman"/>
      <w:szCs w:val="20"/>
      <w:lang w:val="en-GB"/>
    </w:rPr>
  </w:style>
  <w:style w:type="paragraph" w:customStyle="1" w:styleId="i-000">
    <w:name w:val="(i)-0.00"/>
    <w:basedOn w:val="Normal"/>
    <w:rsid w:val="00CB2121"/>
    <w:pPr>
      <w:widowControl w:val="0"/>
      <w:tabs>
        <w:tab w:val="right" w:pos="1191"/>
        <w:tab w:val="left" w:pos="1361"/>
      </w:tabs>
      <w:spacing w:before="120" w:after="0" w:line="240" w:lineRule="auto"/>
      <w:ind w:left="1361" w:hanging="1361"/>
      <w:jc w:val="both"/>
    </w:pPr>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227B5F"/>
    <w:rPr>
      <w:sz w:val="16"/>
      <w:szCs w:val="16"/>
    </w:rPr>
  </w:style>
  <w:style w:type="paragraph" w:styleId="CommentText">
    <w:name w:val="annotation text"/>
    <w:basedOn w:val="Normal"/>
    <w:link w:val="CommentTextChar"/>
    <w:uiPriority w:val="99"/>
    <w:unhideWhenUsed/>
    <w:rsid w:val="00227B5F"/>
    <w:pPr>
      <w:spacing w:line="240" w:lineRule="auto"/>
    </w:pPr>
    <w:rPr>
      <w:sz w:val="20"/>
      <w:szCs w:val="20"/>
    </w:rPr>
  </w:style>
  <w:style w:type="character" w:customStyle="1" w:styleId="CommentTextChar">
    <w:name w:val="Comment Text Char"/>
    <w:basedOn w:val="DefaultParagraphFont"/>
    <w:link w:val="CommentText"/>
    <w:uiPriority w:val="99"/>
    <w:rsid w:val="00227B5F"/>
    <w:rPr>
      <w:sz w:val="20"/>
      <w:szCs w:val="20"/>
    </w:rPr>
  </w:style>
  <w:style w:type="paragraph" w:styleId="CommentSubject">
    <w:name w:val="annotation subject"/>
    <w:basedOn w:val="CommentText"/>
    <w:next w:val="CommentText"/>
    <w:link w:val="CommentSubjectChar"/>
    <w:uiPriority w:val="99"/>
    <w:semiHidden/>
    <w:unhideWhenUsed/>
    <w:rsid w:val="00227B5F"/>
    <w:rPr>
      <w:b/>
      <w:bCs/>
    </w:rPr>
  </w:style>
  <w:style w:type="character" w:customStyle="1" w:styleId="CommentSubjectChar">
    <w:name w:val="Comment Subject Char"/>
    <w:basedOn w:val="CommentTextChar"/>
    <w:link w:val="CommentSubject"/>
    <w:uiPriority w:val="99"/>
    <w:semiHidden/>
    <w:rsid w:val="00227B5F"/>
    <w:rPr>
      <w:b/>
      <w:bCs/>
      <w:sz w:val="20"/>
      <w:szCs w:val="20"/>
    </w:rPr>
  </w:style>
  <w:style w:type="paragraph" w:styleId="BalloonText">
    <w:name w:val="Balloon Text"/>
    <w:basedOn w:val="Normal"/>
    <w:link w:val="BalloonTextChar"/>
    <w:uiPriority w:val="99"/>
    <w:semiHidden/>
    <w:unhideWhenUsed/>
    <w:rsid w:val="0022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5F"/>
    <w:rPr>
      <w:rFonts w:ascii="Tahoma" w:hAnsi="Tahoma" w:cs="Tahoma"/>
      <w:sz w:val="16"/>
      <w:szCs w:val="16"/>
    </w:rPr>
  </w:style>
  <w:style w:type="paragraph" w:styleId="Revision">
    <w:name w:val="Revision"/>
    <w:hidden/>
    <w:uiPriority w:val="99"/>
    <w:semiHidden/>
    <w:rsid w:val="00D14BDE"/>
    <w:pPr>
      <w:spacing w:after="0" w:line="240" w:lineRule="auto"/>
    </w:pPr>
  </w:style>
  <w:style w:type="character" w:styleId="Hyperlink">
    <w:name w:val="Hyperlink"/>
    <w:basedOn w:val="DefaultParagraphFont"/>
    <w:uiPriority w:val="99"/>
    <w:unhideWhenUsed/>
    <w:rsid w:val="00637FD7"/>
    <w:rPr>
      <w:color w:val="0000FF" w:themeColor="hyperlink"/>
      <w:u w:val="single"/>
    </w:rPr>
  </w:style>
  <w:style w:type="paragraph" w:customStyle="1" w:styleId="head1">
    <w:name w:val="head1"/>
    <w:basedOn w:val="Normal"/>
    <w:rsid w:val="00B2136F"/>
    <w:pPr>
      <w:widowControl w:val="0"/>
      <w:spacing w:before="360" w:after="0" w:line="240" w:lineRule="auto"/>
    </w:pPr>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97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5C5"/>
  </w:style>
  <w:style w:type="paragraph" w:styleId="Footer">
    <w:name w:val="footer"/>
    <w:basedOn w:val="Normal"/>
    <w:link w:val="FooterChar"/>
    <w:uiPriority w:val="99"/>
    <w:unhideWhenUsed/>
    <w:rsid w:val="00097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5C5"/>
  </w:style>
  <w:style w:type="paragraph" w:customStyle="1" w:styleId="000">
    <w:name w:val="0.00"/>
    <w:basedOn w:val="Normal"/>
    <w:rsid w:val="007D185F"/>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paragraph" w:customStyle="1" w:styleId="head2">
    <w:name w:val="head2"/>
    <w:basedOn w:val="Normal"/>
    <w:rsid w:val="007D185F"/>
    <w:pPr>
      <w:widowControl w:val="0"/>
      <w:spacing w:before="300" w:after="0" w:line="240" w:lineRule="auto"/>
    </w:pPr>
    <w:rPr>
      <w:rFonts w:ascii="Times New Roman" w:eastAsia="Times New Roman" w:hAnsi="Times New Roman" w:cs="Times New Roman"/>
      <w:b/>
      <w:szCs w:val="20"/>
      <w:lang w:val="en-GB"/>
    </w:rPr>
  </w:style>
  <w:style w:type="paragraph" w:customStyle="1" w:styleId="footnotes">
    <w:name w:val="footnotes"/>
    <w:basedOn w:val="Normal"/>
    <w:rsid w:val="007D185F"/>
    <w:pPr>
      <w:tabs>
        <w:tab w:val="left" w:pos="340"/>
      </w:tabs>
      <w:spacing w:after="0" w:line="240" w:lineRule="auto"/>
      <w:ind w:left="340" w:hanging="340"/>
      <w:jc w:val="both"/>
    </w:pPr>
    <w:rPr>
      <w:rFonts w:ascii="Times New Roman" w:eastAsia="Times New Roman" w:hAnsi="Times New Roman" w:cs="Times New Roman"/>
      <w:sz w:val="20"/>
      <w:szCs w:val="20"/>
      <w:lang w:val="en-GB"/>
    </w:rPr>
  </w:style>
  <w:style w:type="character" w:styleId="FootnoteReference">
    <w:name w:val="footnote reference"/>
    <w:rsid w:val="007D185F"/>
    <w:rPr>
      <w:vertAlign w:val="superscript"/>
    </w:rPr>
  </w:style>
  <w:style w:type="paragraph" w:customStyle="1" w:styleId="i-hang">
    <w:name w:val="(i)-hang"/>
    <w:basedOn w:val="Normal"/>
    <w:rsid w:val="00994550"/>
    <w:pPr>
      <w:widowControl w:val="0"/>
      <w:tabs>
        <w:tab w:val="right" w:pos="567"/>
        <w:tab w:val="left" w:pos="737"/>
      </w:tabs>
      <w:spacing w:before="180" w:after="0" w:line="240" w:lineRule="auto"/>
      <w:ind w:left="737" w:hanging="737"/>
      <w:jc w:val="both"/>
    </w:pPr>
    <w:rPr>
      <w:rFonts w:ascii="Verdana" w:eastAsia="Times New Roman" w:hAnsi="Verdana" w:cs="Times New Roman"/>
      <w:sz w:val="18"/>
      <w:szCs w:val="20"/>
      <w:lang w:val="en-GB"/>
    </w:rPr>
  </w:style>
  <w:style w:type="paragraph" w:customStyle="1" w:styleId="a-0001">
    <w:name w:val="a-000"/>
    <w:basedOn w:val="Normal"/>
    <w:rsid w:val="00620D98"/>
    <w:pPr>
      <w:spacing w:before="100" w:beforeAutospacing="1" w:after="100" w:afterAutospacing="1" w:line="240" w:lineRule="auto"/>
    </w:pPr>
    <w:rPr>
      <w:rFonts w:ascii="Calibri" w:hAnsi="Calibri" w:cs="Calibri"/>
    </w:rPr>
  </w:style>
  <w:style w:type="paragraph" w:customStyle="1" w:styleId="i-000a">
    <w:name w:val="(i)-0.00(a)"/>
    <w:basedOn w:val="Normal"/>
    <w:rsid w:val="008D2DF8"/>
    <w:pPr>
      <w:widowControl w:val="0"/>
      <w:tabs>
        <w:tab w:val="right" w:pos="1758"/>
        <w:tab w:val="left" w:pos="1928"/>
      </w:tabs>
      <w:spacing w:before="180" w:after="0" w:line="240" w:lineRule="auto"/>
      <w:ind w:left="1928" w:hanging="1928"/>
      <w:jc w:val="both"/>
    </w:pPr>
    <w:rPr>
      <w:rFonts w:ascii="Verdana" w:eastAsia="Times New Roman" w:hAnsi="Verdana" w:cs="Times New Roman"/>
      <w:sz w:val="18"/>
      <w:szCs w:val="20"/>
      <w:lang w:val="en-GB"/>
    </w:rPr>
  </w:style>
  <w:style w:type="character" w:customStyle="1" w:styleId="DeltaViewDeletion">
    <w:name w:val="DeltaView Deletion"/>
    <w:rsid w:val="008D2DF8"/>
    <w:rPr>
      <w:strike/>
      <w:color w:val="FF0000"/>
      <w:spacing w:val="0"/>
    </w:rPr>
  </w:style>
  <w:style w:type="paragraph" w:customStyle="1" w:styleId="tabletext">
    <w:name w:val="tabletext"/>
    <w:basedOn w:val="Normal"/>
    <w:rsid w:val="00841ED1"/>
    <w:pPr>
      <w:widowControl w:val="0"/>
      <w:spacing w:after="0" w:line="240" w:lineRule="auto"/>
    </w:pPr>
    <w:rPr>
      <w:rFonts w:ascii="Verdana" w:eastAsia="Times New Roman" w:hAnsi="Verdana" w:cs="Times New Roman"/>
      <w:sz w:val="16"/>
      <w:szCs w:val="20"/>
      <w:lang w:val="en-GB"/>
    </w:rPr>
  </w:style>
  <w:style w:type="paragraph" w:customStyle="1" w:styleId="000ai1">
    <w:name w:val="0.00(a)(i)(1)"/>
    <w:basedOn w:val="Normal"/>
    <w:rsid w:val="00841ED1"/>
    <w:pPr>
      <w:tabs>
        <w:tab w:val="left" w:pos="1928"/>
        <w:tab w:val="left" w:pos="2438"/>
      </w:tabs>
      <w:spacing w:before="180" w:after="0" w:line="240" w:lineRule="auto"/>
      <w:ind w:left="2438" w:hanging="2438"/>
      <w:jc w:val="both"/>
    </w:pPr>
    <w:rPr>
      <w:rFonts w:ascii="Verdana" w:eastAsia="Times New Roman" w:hAnsi="Verdana" w:cs="Times New Roman"/>
      <w:sz w:val="18"/>
      <w:szCs w:val="20"/>
      <w:lang w:val="en-GB"/>
    </w:rPr>
  </w:style>
  <w:style w:type="paragraph" w:customStyle="1" w:styleId="0000">
    <w:name w:val="00.00"/>
    <w:basedOn w:val="Normal"/>
    <w:rsid w:val="00841ED1"/>
    <w:pPr>
      <w:widowControl w:val="0"/>
      <w:tabs>
        <w:tab w:val="left" w:pos="794"/>
      </w:tabs>
      <w:spacing w:before="180" w:after="0" w:line="240" w:lineRule="auto"/>
      <w:ind w:left="794" w:hanging="794"/>
      <w:jc w:val="both"/>
    </w:pPr>
    <w:rPr>
      <w:rFonts w:ascii="Verdana" w:eastAsia="Times New Roman" w:hAnsi="Verdana" w:cs="Times New Roman"/>
      <w:sz w:val="18"/>
      <w:szCs w:val="20"/>
      <w:lang w:val="en-GB"/>
    </w:rPr>
  </w:style>
  <w:style w:type="paragraph" w:styleId="NormalWeb">
    <w:name w:val="Normal (Web)"/>
    <w:basedOn w:val="Normal"/>
    <w:uiPriority w:val="99"/>
    <w:unhideWhenUsed/>
    <w:rsid w:val="004B45CC"/>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2B1504"/>
    <w:rPr>
      <w:b/>
      <w:bCs/>
    </w:rPr>
  </w:style>
  <w:style w:type="paragraph" w:styleId="FootnoteText">
    <w:name w:val="footnote text"/>
    <w:basedOn w:val="Normal"/>
    <w:link w:val="FootnoteTextChar"/>
    <w:uiPriority w:val="99"/>
    <w:unhideWhenUsed/>
    <w:rsid w:val="0031067E"/>
    <w:pPr>
      <w:spacing w:after="0" w:line="240" w:lineRule="auto"/>
    </w:pPr>
    <w:rPr>
      <w:sz w:val="20"/>
      <w:szCs w:val="20"/>
      <w:lang w:val="en-ZA"/>
    </w:rPr>
  </w:style>
  <w:style w:type="character" w:customStyle="1" w:styleId="FootnoteTextChar">
    <w:name w:val="Footnote Text Char"/>
    <w:basedOn w:val="DefaultParagraphFont"/>
    <w:link w:val="FootnoteText"/>
    <w:uiPriority w:val="99"/>
    <w:rsid w:val="0031067E"/>
    <w:rPr>
      <w:sz w:val="20"/>
      <w:szCs w:val="20"/>
      <w:lang w:val="en-ZA"/>
    </w:rPr>
  </w:style>
  <w:style w:type="character" w:customStyle="1" w:styleId="ListParagraphChar">
    <w:name w:val="List Paragraph Char"/>
    <w:basedOn w:val="DefaultParagraphFont"/>
    <w:link w:val="ListParagraph"/>
    <w:uiPriority w:val="34"/>
    <w:locked/>
    <w:rsid w:val="0031067E"/>
    <w:rPr>
      <w:rFonts w:ascii="Arial" w:eastAsia="Times" w:hAnsi="Arial" w:cs="Times New Roman"/>
      <w:sz w:val="20"/>
      <w:szCs w:val="20"/>
    </w:rPr>
  </w:style>
  <w:style w:type="character" w:styleId="UnresolvedMention">
    <w:name w:val="Unresolved Mention"/>
    <w:basedOn w:val="DefaultParagraphFont"/>
    <w:uiPriority w:val="99"/>
    <w:semiHidden/>
    <w:unhideWhenUsed/>
    <w:rsid w:val="00083B2A"/>
    <w:rPr>
      <w:color w:val="605E5C"/>
      <w:shd w:val="clear" w:color="auto" w:fill="E1DFDD"/>
    </w:rPr>
  </w:style>
  <w:style w:type="character" w:customStyle="1" w:styleId="xrefout">
    <w:name w:val="xrefout"/>
    <w:basedOn w:val="DefaultParagraphFont"/>
    <w:rsid w:val="00502631"/>
  </w:style>
  <w:style w:type="character" w:styleId="Emphasis">
    <w:name w:val="Emphasis"/>
    <w:basedOn w:val="DefaultParagraphFont"/>
    <w:uiPriority w:val="20"/>
    <w:qFormat/>
    <w:rsid w:val="00F37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6874">
      <w:bodyDiv w:val="1"/>
      <w:marLeft w:val="0"/>
      <w:marRight w:val="0"/>
      <w:marTop w:val="0"/>
      <w:marBottom w:val="0"/>
      <w:divBdr>
        <w:top w:val="none" w:sz="0" w:space="0" w:color="auto"/>
        <w:left w:val="none" w:sz="0" w:space="0" w:color="auto"/>
        <w:bottom w:val="none" w:sz="0" w:space="0" w:color="auto"/>
        <w:right w:val="none" w:sz="0" w:space="0" w:color="auto"/>
      </w:divBdr>
    </w:div>
    <w:div w:id="409816079">
      <w:bodyDiv w:val="1"/>
      <w:marLeft w:val="0"/>
      <w:marRight w:val="0"/>
      <w:marTop w:val="0"/>
      <w:marBottom w:val="0"/>
      <w:divBdr>
        <w:top w:val="none" w:sz="0" w:space="0" w:color="auto"/>
        <w:left w:val="none" w:sz="0" w:space="0" w:color="auto"/>
        <w:bottom w:val="none" w:sz="0" w:space="0" w:color="auto"/>
        <w:right w:val="none" w:sz="0" w:space="0" w:color="auto"/>
      </w:divBdr>
    </w:div>
    <w:div w:id="521624996">
      <w:bodyDiv w:val="1"/>
      <w:marLeft w:val="0"/>
      <w:marRight w:val="0"/>
      <w:marTop w:val="0"/>
      <w:marBottom w:val="0"/>
      <w:divBdr>
        <w:top w:val="none" w:sz="0" w:space="0" w:color="auto"/>
        <w:left w:val="none" w:sz="0" w:space="0" w:color="auto"/>
        <w:bottom w:val="none" w:sz="0" w:space="0" w:color="auto"/>
        <w:right w:val="none" w:sz="0" w:space="0" w:color="auto"/>
      </w:divBdr>
    </w:div>
    <w:div w:id="527984227">
      <w:bodyDiv w:val="1"/>
      <w:marLeft w:val="0"/>
      <w:marRight w:val="0"/>
      <w:marTop w:val="0"/>
      <w:marBottom w:val="0"/>
      <w:divBdr>
        <w:top w:val="none" w:sz="0" w:space="0" w:color="auto"/>
        <w:left w:val="none" w:sz="0" w:space="0" w:color="auto"/>
        <w:bottom w:val="none" w:sz="0" w:space="0" w:color="auto"/>
        <w:right w:val="none" w:sz="0" w:space="0" w:color="auto"/>
      </w:divBdr>
    </w:div>
    <w:div w:id="599532703">
      <w:bodyDiv w:val="1"/>
      <w:marLeft w:val="0"/>
      <w:marRight w:val="0"/>
      <w:marTop w:val="0"/>
      <w:marBottom w:val="0"/>
      <w:divBdr>
        <w:top w:val="none" w:sz="0" w:space="0" w:color="auto"/>
        <w:left w:val="none" w:sz="0" w:space="0" w:color="auto"/>
        <w:bottom w:val="none" w:sz="0" w:space="0" w:color="auto"/>
        <w:right w:val="none" w:sz="0" w:space="0" w:color="auto"/>
      </w:divBdr>
    </w:div>
    <w:div w:id="917638479">
      <w:bodyDiv w:val="1"/>
      <w:marLeft w:val="0"/>
      <w:marRight w:val="0"/>
      <w:marTop w:val="0"/>
      <w:marBottom w:val="0"/>
      <w:divBdr>
        <w:top w:val="none" w:sz="0" w:space="0" w:color="auto"/>
        <w:left w:val="none" w:sz="0" w:space="0" w:color="auto"/>
        <w:bottom w:val="none" w:sz="0" w:space="0" w:color="auto"/>
        <w:right w:val="none" w:sz="0" w:space="0" w:color="auto"/>
      </w:divBdr>
      <w:divsChild>
        <w:div w:id="587037215">
          <w:marLeft w:val="600"/>
          <w:marRight w:val="0"/>
          <w:marTop w:val="0"/>
          <w:marBottom w:val="240"/>
          <w:divBdr>
            <w:top w:val="none" w:sz="0" w:space="0" w:color="auto"/>
            <w:left w:val="none" w:sz="0" w:space="0" w:color="auto"/>
            <w:bottom w:val="none" w:sz="0" w:space="0" w:color="auto"/>
            <w:right w:val="none" w:sz="0" w:space="0" w:color="auto"/>
          </w:divBdr>
        </w:div>
        <w:div w:id="661272974">
          <w:marLeft w:val="600"/>
          <w:marRight w:val="0"/>
          <w:marTop w:val="0"/>
          <w:marBottom w:val="240"/>
          <w:divBdr>
            <w:top w:val="none" w:sz="0" w:space="0" w:color="auto"/>
            <w:left w:val="none" w:sz="0" w:space="0" w:color="auto"/>
            <w:bottom w:val="none" w:sz="0" w:space="0" w:color="auto"/>
            <w:right w:val="none" w:sz="0" w:space="0" w:color="auto"/>
          </w:divBdr>
        </w:div>
        <w:div w:id="249700469">
          <w:marLeft w:val="600"/>
          <w:marRight w:val="0"/>
          <w:marTop w:val="0"/>
          <w:marBottom w:val="0"/>
          <w:divBdr>
            <w:top w:val="none" w:sz="0" w:space="0" w:color="auto"/>
            <w:left w:val="none" w:sz="0" w:space="0" w:color="auto"/>
            <w:bottom w:val="none" w:sz="0" w:space="0" w:color="auto"/>
            <w:right w:val="none" w:sz="0" w:space="0" w:color="auto"/>
          </w:divBdr>
        </w:div>
      </w:divsChild>
    </w:div>
    <w:div w:id="937324795">
      <w:bodyDiv w:val="1"/>
      <w:marLeft w:val="0"/>
      <w:marRight w:val="0"/>
      <w:marTop w:val="0"/>
      <w:marBottom w:val="0"/>
      <w:divBdr>
        <w:top w:val="none" w:sz="0" w:space="0" w:color="auto"/>
        <w:left w:val="none" w:sz="0" w:space="0" w:color="auto"/>
        <w:bottom w:val="none" w:sz="0" w:space="0" w:color="auto"/>
        <w:right w:val="none" w:sz="0" w:space="0" w:color="auto"/>
      </w:divBdr>
    </w:div>
    <w:div w:id="985549025">
      <w:bodyDiv w:val="1"/>
      <w:marLeft w:val="0"/>
      <w:marRight w:val="0"/>
      <w:marTop w:val="0"/>
      <w:marBottom w:val="0"/>
      <w:divBdr>
        <w:top w:val="none" w:sz="0" w:space="0" w:color="auto"/>
        <w:left w:val="none" w:sz="0" w:space="0" w:color="auto"/>
        <w:bottom w:val="none" w:sz="0" w:space="0" w:color="auto"/>
        <w:right w:val="none" w:sz="0" w:space="0" w:color="auto"/>
      </w:divBdr>
    </w:div>
    <w:div w:id="1365787576">
      <w:bodyDiv w:val="1"/>
      <w:marLeft w:val="0"/>
      <w:marRight w:val="0"/>
      <w:marTop w:val="0"/>
      <w:marBottom w:val="0"/>
      <w:divBdr>
        <w:top w:val="none" w:sz="0" w:space="0" w:color="auto"/>
        <w:left w:val="none" w:sz="0" w:space="0" w:color="auto"/>
        <w:bottom w:val="none" w:sz="0" w:space="0" w:color="auto"/>
        <w:right w:val="none" w:sz="0" w:space="0" w:color="auto"/>
      </w:divBdr>
      <w:divsChild>
        <w:div w:id="1504786124">
          <w:marLeft w:val="480"/>
          <w:marRight w:val="0"/>
          <w:marTop w:val="240"/>
          <w:marBottom w:val="240"/>
          <w:divBdr>
            <w:top w:val="none" w:sz="0" w:space="0" w:color="auto"/>
            <w:left w:val="none" w:sz="0" w:space="0" w:color="auto"/>
            <w:bottom w:val="none" w:sz="0" w:space="0" w:color="auto"/>
            <w:right w:val="none" w:sz="0" w:space="0" w:color="auto"/>
          </w:divBdr>
        </w:div>
        <w:div w:id="1390153389">
          <w:marLeft w:val="480"/>
          <w:marRight w:val="0"/>
          <w:marTop w:val="240"/>
          <w:marBottom w:val="240"/>
          <w:divBdr>
            <w:top w:val="none" w:sz="0" w:space="0" w:color="auto"/>
            <w:left w:val="none" w:sz="0" w:space="0" w:color="auto"/>
            <w:bottom w:val="none" w:sz="0" w:space="0" w:color="auto"/>
            <w:right w:val="none" w:sz="0" w:space="0" w:color="auto"/>
          </w:divBdr>
        </w:div>
        <w:div w:id="221605262">
          <w:marLeft w:val="480"/>
          <w:marRight w:val="0"/>
          <w:marTop w:val="240"/>
          <w:marBottom w:val="240"/>
          <w:divBdr>
            <w:top w:val="none" w:sz="0" w:space="0" w:color="auto"/>
            <w:left w:val="none" w:sz="0" w:space="0" w:color="auto"/>
            <w:bottom w:val="none" w:sz="0" w:space="0" w:color="auto"/>
            <w:right w:val="none" w:sz="0" w:space="0" w:color="auto"/>
          </w:divBdr>
        </w:div>
        <w:div w:id="476992894">
          <w:marLeft w:val="480"/>
          <w:marRight w:val="0"/>
          <w:marTop w:val="240"/>
          <w:marBottom w:val="75"/>
          <w:divBdr>
            <w:top w:val="none" w:sz="0" w:space="0" w:color="auto"/>
            <w:left w:val="none" w:sz="0" w:space="0" w:color="auto"/>
            <w:bottom w:val="none" w:sz="0" w:space="0" w:color="auto"/>
            <w:right w:val="none" w:sz="0" w:space="0" w:color="auto"/>
          </w:divBdr>
        </w:div>
      </w:divsChild>
    </w:div>
    <w:div w:id="1436556506">
      <w:bodyDiv w:val="1"/>
      <w:marLeft w:val="0"/>
      <w:marRight w:val="0"/>
      <w:marTop w:val="0"/>
      <w:marBottom w:val="0"/>
      <w:divBdr>
        <w:top w:val="none" w:sz="0" w:space="0" w:color="auto"/>
        <w:left w:val="none" w:sz="0" w:space="0" w:color="auto"/>
        <w:bottom w:val="none" w:sz="0" w:space="0" w:color="auto"/>
        <w:right w:val="none" w:sz="0" w:space="0" w:color="auto"/>
      </w:divBdr>
    </w:div>
    <w:div w:id="1660035063">
      <w:bodyDiv w:val="1"/>
      <w:marLeft w:val="0"/>
      <w:marRight w:val="0"/>
      <w:marTop w:val="0"/>
      <w:marBottom w:val="0"/>
      <w:divBdr>
        <w:top w:val="none" w:sz="0" w:space="0" w:color="auto"/>
        <w:left w:val="none" w:sz="0" w:space="0" w:color="auto"/>
        <w:bottom w:val="none" w:sz="0" w:space="0" w:color="auto"/>
        <w:right w:val="none" w:sz="0" w:space="0" w:color="auto"/>
      </w:divBdr>
    </w:div>
    <w:div w:id="1688866251">
      <w:bodyDiv w:val="1"/>
      <w:marLeft w:val="0"/>
      <w:marRight w:val="0"/>
      <w:marTop w:val="0"/>
      <w:marBottom w:val="0"/>
      <w:divBdr>
        <w:top w:val="none" w:sz="0" w:space="0" w:color="auto"/>
        <w:left w:val="none" w:sz="0" w:space="0" w:color="auto"/>
        <w:bottom w:val="none" w:sz="0" w:space="0" w:color="auto"/>
        <w:right w:val="none" w:sz="0" w:space="0" w:color="auto"/>
      </w:divBdr>
    </w:div>
    <w:div w:id="2111116792">
      <w:bodyDiv w:val="1"/>
      <w:marLeft w:val="0"/>
      <w:marRight w:val="0"/>
      <w:marTop w:val="0"/>
      <w:marBottom w:val="0"/>
      <w:divBdr>
        <w:top w:val="none" w:sz="0" w:space="0" w:color="auto"/>
        <w:left w:val="none" w:sz="0" w:space="0" w:color="auto"/>
        <w:bottom w:val="none" w:sz="0" w:space="0" w:color="auto"/>
        <w:right w:val="none" w:sz="0" w:space="0" w:color="auto"/>
      </w:divBdr>
      <w:divsChild>
        <w:div w:id="1695569275">
          <w:marLeft w:val="691"/>
          <w:marRight w:val="0"/>
          <w:marTop w:val="160"/>
          <w:marBottom w:val="120"/>
          <w:divBdr>
            <w:top w:val="none" w:sz="0" w:space="0" w:color="auto"/>
            <w:left w:val="none" w:sz="0" w:space="0" w:color="auto"/>
            <w:bottom w:val="none" w:sz="0" w:space="0" w:color="auto"/>
            <w:right w:val="none" w:sz="0" w:space="0" w:color="auto"/>
          </w:divBdr>
        </w:div>
        <w:div w:id="1876503672">
          <w:marLeft w:val="691"/>
          <w:marRight w:val="0"/>
          <w:marTop w:val="160"/>
          <w:marBottom w:val="120"/>
          <w:divBdr>
            <w:top w:val="none" w:sz="0" w:space="0" w:color="auto"/>
            <w:left w:val="none" w:sz="0" w:space="0" w:color="auto"/>
            <w:bottom w:val="none" w:sz="0" w:space="0" w:color="auto"/>
            <w:right w:val="none" w:sz="0" w:space="0" w:color="auto"/>
          </w:divBdr>
        </w:div>
        <w:div w:id="209459874">
          <w:marLeft w:val="691"/>
          <w:marRight w:val="0"/>
          <w:marTop w:val="160"/>
          <w:marBottom w:val="120"/>
          <w:divBdr>
            <w:top w:val="none" w:sz="0" w:space="0" w:color="auto"/>
            <w:left w:val="none" w:sz="0" w:space="0" w:color="auto"/>
            <w:bottom w:val="none" w:sz="0" w:space="0" w:color="auto"/>
            <w:right w:val="none" w:sz="0" w:space="0" w:color="auto"/>
          </w:divBdr>
        </w:div>
        <w:div w:id="1890413205">
          <w:marLeft w:val="691"/>
          <w:marRight w:val="0"/>
          <w:marTop w:val="1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e.co.za/sites/default/files/media/documents//JSE%20Consultation%20Paper%20May%202022.pdf" TargetMode="External"/><Relationship Id="rId13" Type="http://schemas.openxmlformats.org/officeDocument/2006/relationships/hyperlink" Target="https://www.handbook.fca.org.uk/handbook/glossary/G48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dbook.fca.org.uk/handbook/glossary/G48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book.fca.org.uk/handbook/glossary/G599.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andbook.fca.org.uk/handbook/LR/6/14.html" TargetMode="External"/><Relationship Id="rId4" Type="http://schemas.openxmlformats.org/officeDocument/2006/relationships/settings" Target="settings.xml"/><Relationship Id="rId9" Type="http://schemas.openxmlformats.org/officeDocument/2006/relationships/hyperlink" Target="https://www.handbook.fca.org.uk/handbook/glossary/G1078.html" TargetMode="External"/><Relationship Id="rId14" Type="http://schemas.openxmlformats.org/officeDocument/2006/relationships/hyperlink" Target="https://www.handbook.fca.org.uk/handbook/glossary/G599.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lebook.sgx.com/rulebook/definitions-and-interpretation-0" TargetMode="External"/><Relationship Id="rId13" Type="http://schemas.openxmlformats.org/officeDocument/2006/relationships/hyperlink" Target="https://www.asx.com.au/documents/rules/Chapter19.pdf" TargetMode="External"/><Relationship Id="rId3" Type="http://schemas.openxmlformats.org/officeDocument/2006/relationships/hyperlink" Target="https://assets.publishing.service.gov.uk/government/uploads/system/uploads/attachment_data/file/966133/UK_Listing_Review_3_March.pdf" TargetMode="External"/><Relationship Id="rId7" Type="http://schemas.openxmlformats.org/officeDocument/2006/relationships/hyperlink" Target="https://rulebook.sgx.com/rulebook/723-2" TargetMode="External"/><Relationship Id="rId12" Type="http://schemas.openxmlformats.org/officeDocument/2006/relationships/hyperlink" Target="file:///C:/Users/AlwynF/Downloads/Chapter01.pdf" TargetMode="External"/><Relationship Id="rId2" Type="http://schemas.openxmlformats.org/officeDocument/2006/relationships/hyperlink" Target="https://www.jse.co.za/sites/default/files/media/documents//JSE%20Response%20Paper%20Aug%202022.pdf" TargetMode="External"/><Relationship Id="rId1" Type="http://schemas.openxmlformats.org/officeDocument/2006/relationships/hyperlink" Target="https://www.lsegissuerservices.com/spark/new-rules-for-the-lse-main-market" TargetMode="External"/><Relationship Id="rId6" Type="http://schemas.openxmlformats.org/officeDocument/2006/relationships/hyperlink" Target="https://www.handbook.fca.org.uk/handbook/LR/6/14.html" TargetMode="External"/><Relationship Id="rId11" Type="http://schemas.openxmlformats.org/officeDocument/2006/relationships/hyperlink" Target="https://en-rules.hkex.com.hk/sites/default/files/net_file_store/HKEX4476_1934_VER22605.pdf" TargetMode="External"/><Relationship Id="rId5" Type="http://schemas.openxmlformats.org/officeDocument/2006/relationships/hyperlink" Target="https://finance.ec.europa.eu/regulation-and-supervision/consultations/finance-2021-listing-act-targeted_en" TargetMode="External"/><Relationship Id="rId10" Type="http://schemas.openxmlformats.org/officeDocument/2006/relationships/hyperlink" Target="https://en-rules.hkex.com.hk/sites/default/files/net_file_store/HKEX4476_2301_VER18359.pdf" TargetMode="External"/><Relationship Id="rId4" Type="http://schemas.openxmlformats.org/officeDocument/2006/relationships/hyperlink" Target="https://www.fca.org.uk/news/press-releases/fca-confirms-new-listing-rules-boost-growth-and-innovation" TargetMode="External"/><Relationship Id="rId9" Type="http://schemas.openxmlformats.org/officeDocument/2006/relationships/hyperlink" Target="https://en-rules.hkex.com.hk/sites/default/files/net_file_store/HKEX4476_2301_VER18359.pdf" TargetMode="External"/><Relationship Id="rId14" Type="http://schemas.openxmlformats.org/officeDocument/2006/relationships/hyperlink" Target="file:///C:/Users/AlwynF/Downloads/Chapter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C1DF-4D4B-435D-AF41-05DB9FFE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Jseuser</dc:creator>
  <cp:lastModifiedBy>Alwyn Fouchee</cp:lastModifiedBy>
  <cp:revision>131</cp:revision>
  <cp:lastPrinted>2022-04-01T07:03:00Z</cp:lastPrinted>
  <dcterms:created xsi:type="dcterms:W3CDTF">2022-09-28T05:17:00Z</dcterms:created>
  <dcterms:modified xsi:type="dcterms:W3CDTF">2022-10-24T13:05:00Z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2021-05-14T13:37:16Z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b41930c5-cb76-4a0c-b2ca-ae43b6472719</vt:lpwstr>
  </property>
  <property fmtid="{D5CDD505-2E9C-101B-9397-08002B2CF9AE}" pid="8" name="MSIP_Label_66d8a90e-c522-4829-9625-db8c70f8b095_ContentBits">
    <vt:lpwstr>0</vt:lpwstr>
  </property>
</Properties>
</file>