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E7A" w:rsidRPr="00405E7A" w:rsidRDefault="00405E7A" w:rsidP="00405E7A">
      <w:pPr>
        <w:pStyle w:val="head1"/>
        <w:spacing w:before="480" w:after="480"/>
        <w:jc w:val="center"/>
        <w:rPr>
          <w:sz w:val="22"/>
          <w:szCs w:val="22"/>
        </w:rPr>
      </w:pPr>
      <w:r w:rsidRPr="00405E7A">
        <w:rPr>
          <w:sz w:val="22"/>
          <w:szCs w:val="22"/>
        </w:rPr>
        <w:t xml:space="preserve">FORM A1 </w:t>
      </w:r>
      <w:r w:rsidR="00AB4C10">
        <w:rPr>
          <w:sz w:val="22"/>
          <w:szCs w:val="22"/>
        </w:rPr>
        <w:t>(a</w:t>
      </w:r>
      <w:bookmarkStart w:id="0" w:name="_GoBack"/>
      <w:bookmarkEnd w:id="0"/>
      <w:r w:rsidR="00E85BF3">
        <w:rPr>
          <w:sz w:val="22"/>
          <w:szCs w:val="22"/>
        </w:rPr>
        <w:t>)</w:t>
      </w:r>
    </w:p>
    <w:p w:rsidR="00405E7A" w:rsidRPr="00405E7A" w:rsidRDefault="00405E7A" w:rsidP="00405E7A">
      <w:pPr>
        <w:pStyle w:val="head1"/>
        <w:spacing w:before="480" w:after="480"/>
        <w:jc w:val="both"/>
        <w:rPr>
          <w:sz w:val="22"/>
          <w:szCs w:val="22"/>
        </w:rPr>
      </w:pPr>
      <w:r w:rsidRPr="00405E7A">
        <w:rPr>
          <w:sz w:val="22"/>
          <w:szCs w:val="22"/>
        </w:rPr>
        <w:t>Application for a listing of securities resulting from rights offers, claw-back offers and renounceable offers</w:t>
      </w:r>
    </w:p>
    <w:p w:rsidR="00405E7A" w:rsidRPr="00405E7A" w:rsidRDefault="00570CC9" w:rsidP="00405E7A">
      <w:pPr>
        <w:pStyle w:val="000"/>
        <w:rPr>
          <w:szCs w:val="22"/>
        </w:rPr>
      </w:pPr>
      <w:r>
        <w:rPr>
          <w:szCs w:val="22"/>
        </w:rPr>
        <w:t>1</w:t>
      </w:r>
      <w:r w:rsidR="00405E7A" w:rsidRPr="00405E7A">
        <w:rPr>
          <w:szCs w:val="22"/>
        </w:rPr>
        <w:t>.1</w:t>
      </w:r>
      <w:r w:rsidR="00405E7A" w:rsidRPr="00405E7A">
        <w:rPr>
          <w:szCs w:val="22"/>
        </w:rPr>
        <w:tab/>
        <w:t>The application for the listing of securities resulting from rights offers, claw-back offers and renounceable offers must include:</w:t>
      </w:r>
    </w:p>
    <w:p w:rsidR="00405E7A" w:rsidRPr="00405E7A" w:rsidRDefault="00405E7A" w:rsidP="00405E7A">
      <w:pPr>
        <w:pStyle w:val="a-000"/>
        <w:rPr>
          <w:szCs w:val="22"/>
        </w:rPr>
      </w:pPr>
      <w:r w:rsidRPr="00405E7A">
        <w:rPr>
          <w:szCs w:val="22"/>
        </w:rPr>
        <w:tab/>
        <w:t>(a)</w:t>
      </w:r>
      <w:r w:rsidRPr="00405E7A">
        <w:rPr>
          <w:szCs w:val="22"/>
        </w:rPr>
        <w:tab/>
      </w:r>
      <w:proofErr w:type="gramStart"/>
      <w:r w:rsidRPr="00405E7A">
        <w:rPr>
          <w:szCs w:val="22"/>
        </w:rPr>
        <w:t>a</w:t>
      </w:r>
      <w:proofErr w:type="gramEnd"/>
      <w:r w:rsidRPr="00405E7A">
        <w:rPr>
          <w:szCs w:val="22"/>
        </w:rPr>
        <w:t xml:space="preserve"> description of and the number of renounceable letters for which a listing is applied, and the relevant dates, in accordance with the r</w:t>
      </w:r>
      <w:r w:rsidR="009826EF">
        <w:rPr>
          <w:szCs w:val="22"/>
        </w:rPr>
        <w:t>elevant timetable in Schedule 18</w:t>
      </w:r>
      <w:r w:rsidRPr="00405E7A">
        <w:rPr>
          <w:szCs w:val="22"/>
        </w:rPr>
        <w:t>;</w:t>
      </w:r>
    </w:p>
    <w:p w:rsidR="00405E7A" w:rsidRPr="00405E7A" w:rsidRDefault="00405E7A" w:rsidP="00405E7A">
      <w:pPr>
        <w:pStyle w:val="a-000"/>
        <w:rPr>
          <w:szCs w:val="22"/>
        </w:rPr>
      </w:pPr>
      <w:r w:rsidRPr="00405E7A">
        <w:rPr>
          <w:szCs w:val="22"/>
        </w:rPr>
        <w:tab/>
        <w:t>(b)</w:t>
      </w:r>
      <w:r w:rsidRPr="00405E7A">
        <w:rPr>
          <w:szCs w:val="22"/>
        </w:rPr>
        <w:tab/>
      </w:r>
      <w:proofErr w:type="gramStart"/>
      <w:r w:rsidRPr="00405E7A">
        <w:rPr>
          <w:szCs w:val="22"/>
        </w:rPr>
        <w:t>a</w:t>
      </w:r>
      <w:proofErr w:type="gramEnd"/>
      <w:r w:rsidRPr="00405E7A">
        <w:rPr>
          <w:szCs w:val="22"/>
        </w:rPr>
        <w:t xml:space="preserve"> description of and the number of securities for which a listing is applied, and the relevant dates, in accordance with the r</w:t>
      </w:r>
      <w:r w:rsidR="009826EF">
        <w:rPr>
          <w:szCs w:val="22"/>
        </w:rPr>
        <w:t>elevant timetable in Schedule 18</w:t>
      </w:r>
      <w:r w:rsidRPr="00405E7A">
        <w:rPr>
          <w:szCs w:val="22"/>
        </w:rPr>
        <w:t>;</w:t>
      </w:r>
    </w:p>
    <w:p w:rsidR="00405E7A" w:rsidRPr="00405E7A" w:rsidRDefault="00405E7A" w:rsidP="00405E7A">
      <w:pPr>
        <w:pStyle w:val="a-000"/>
        <w:rPr>
          <w:szCs w:val="22"/>
        </w:rPr>
      </w:pPr>
      <w:r w:rsidRPr="00405E7A">
        <w:rPr>
          <w:szCs w:val="22"/>
        </w:rPr>
        <w:tab/>
        <w:t>(c)</w:t>
      </w:r>
      <w:r w:rsidRPr="00405E7A">
        <w:rPr>
          <w:szCs w:val="22"/>
        </w:rPr>
        <w:tab/>
      </w:r>
      <w:proofErr w:type="gramStart"/>
      <w:r w:rsidRPr="00405E7A">
        <w:rPr>
          <w:szCs w:val="22"/>
        </w:rPr>
        <w:t>a</w:t>
      </w:r>
      <w:proofErr w:type="gramEnd"/>
      <w:r w:rsidRPr="00405E7A">
        <w:rPr>
          <w:szCs w:val="22"/>
        </w:rPr>
        <w:t xml:space="preserve"> brief description of the offer;</w:t>
      </w:r>
    </w:p>
    <w:p w:rsidR="00405E7A" w:rsidRPr="00405E7A" w:rsidRDefault="00405E7A" w:rsidP="00405E7A">
      <w:pPr>
        <w:pStyle w:val="a-000"/>
        <w:rPr>
          <w:szCs w:val="22"/>
        </w:rPr>
      </w:pPr>
      <w:r w:rsidRPr="00405E7A">
        <w:rPr>
          <w:szCs w:val="22"/>
        </w:rPr>
        <w:tab/>
        <w:t>(d)</w:t>
      </w:r>
      <w:r w:rsidRPr="00405E7A">
        <w:rPr>
          <w:szCs w:val="22"/>
        </w:rPr>
        <w:tab/>
      </w:r>
      <w:proofErr w:type="gramStart"/>
      <w:r w:rsidRPr="00405E7A">
        <w:rPr>
          <w:szCs w:val="22"/>
        </w:rPr>
        <w:t>the</w:t>
      </w:r>
      <w:proofErr w:type="gramEnd"/>
      <w:r w:rsidRPr="00405E7A">
        <w:rPr>
          <w:szCs w:val="22"/>
        </w:rPr>
        <w:t xml:space="preserve"> date on which the renounceable letters and the circular or pre-listing statement will be posted to securities holders; </w:t>
      </w:r>
    </w:p>
    <w:p w:rsidR="00405E7A" w:rsidRPr="00405E7A" w:rsidRDefault="00405E7A" w:rsidP="00405E7A">
      <w:pPr>
        <w:pStyle w:val="a-000"/>
        <w:rPr>
          <w:szCs w:val="22"/>
        </w:rPr>
      </w:pPr>
      <w:r w:rsidRPr="00405E7A">
        <w:rPr>
          <w:szCs w:val="22"/>
        </w:rPr>
        <w:tab/>
        <w:t>(e)</w:t>
      </w:r>
      <w:r w:rsidRPr="00405E7A">
        <w:rPr>
          <w:szCs w:val="22"/>
        </w:rPr>
        <w:tab/>
      </w:r>
      <w:proofErr w:type="gramStart"/>
      <w:r w:rsidRPr="00405E7A">
        <w:rPr>
          <w:szCs w:val="22"/>
        </w:rPr>
        <w:t>the</w:t>
      </w:r>
      <w:proofErr w:type="gramEnd"/>
      <w:r w:rsidRPr="00405E7A">
        <w:rPr>
          <w:szCs w:val="22"/>
        </w:rPr>
        <w:t xml:space="preserve"> date on which the offer closes;</w:t>
      </w:r>
    </w:p>
    <w:p w:rsidR="00405E7A" w:rsidRPr="00405E7A" w:rsidRDefault="00405E7A" w:rsidP="00405E7A">
      <w:pPr>
        <w:pStyle w:val="a-000"/>
        <w:rPr>
          <w:szCs w:val="22"/>
        </w:rPr>
      </w:pPr>
      <w:r w:rsidRPr="00405E7A">
        <w:rPr>
          <w:szCs w:val="22"/>
        </w:rPr>
        <w:tab/>
        <w:t>(f)</w:t>
      </w:r>
      <w:r w:rsidRPr="00405E7A">
        <w:rPr>
          <w:szCs w:val="22"/>
        </w:rPr>
        <w:tab/>
      </w:r>
      <w:proofErr w:type="gramStart"/>
      <w:r w:rsidRPr="00405E7A">
        <w:rPr>
          <w:szCs w:val="22"/>
        </w:rPr>
        <w:t>the</w:t>
      </w:r>
      <w:proofErr w:type="gramEnd"/>
      <w:r w:rsidRPr="00405E7A">
        <w:rPr>
          <w:szCs w:val="22"/>
        </w:rPr>
        <w:t xml:space="preserve"> authorised and issued capital of the applicant prior to the issue of the rights, renounceable or claw-back securities;</w:t>
      </w:r>
    </w:p>
    <w:p w:rsidR="00405E7A" w:rsidRPr="00405E7A" w:rsidRDefault="00405E7A" w:rsidP="00405E7A">
      <w:pPr>
        <w:pStyle w:val="a-000"/>
        <w:rPr>
          <w:szCs w:val="22"/>
        </w:rPr>
      </w:pPr>
      <w:r w:rsidRPr="00405E7A">
        <w:rPr>
          <w:szCs w:val="22"/>
        </w:rPr>
        <w:tab/>
        <w:t>(g)</w:t>
      </w:r>
      <w:r w:rsidRPr="00405E7A">
        <w:rPr>
          <w:szCs w:val="22"/>
        </w:rPr>
        <w:tab/>
      </w:r>
      <w:proofErr w:type="gramStart"/>
      <w:r w:rsidRPr="00405E7A">
        <w:rPr>
          <w:szCs w:val="22"/>
        </w:rPr>
        <w:t>the</w:t>
      </w:r>
      <w:proofErr w:type="gramEnd"/>
      <w:r w:rsidRPr="00405E7A">
        <w:rPr>
          <w:szCs w:val="22"/>
        </w:rPr>
        <w:t xml:space="preserve"> issued capital after the issue of the rights, renounceable or claw-back securities; </w:t>
      </w:r>
    </w:p>
    <w:p w:rsidR="00405E7A" w:rsidRPr="00405E7A" w:rsidRDefault="00405E7A" w:rsidP="00405E7A">
      <w:pPr>
        <w:pStyle w:val="a-000"/>
        <w:rPr>
          <w:szCs w:val="22"/>
        </w:rPr>
      </w:pPr>
      <w:r w:rsidRPr="00405E7A">
        <w:rPr>
          <w:szCs w:val="22"/>
        </w:rPr>
        <w:tab/>
        <w:t>(h)</w:t>
      </w:r>
      <w:r w:rsidRPr="00405E7A">
        <w:rPr>
          <w:szCs w:val="22"/>
        </w:rPr>
        <w:tab/>
      </w:r>
      <w:proofErr w:type="gramStart"/>
      <w:r w:rsidRPr="00405E7A">
        <w:rPr>
          <w:szCs w:val="22"/>
        </w:rPr>
        <w:t>the</w:t>
      </w:r>
      <w:proofErr w:type="gramEnd"/>
      <w:r w:rsidRPr="00405E7A">
        <w:rPr>
          <w:szCs w:val="22"/>
        </w:rPr>
        <w:t xml:space="preserve"> number of treasury shares held;</w:t>
      </w:r>
    </w:p>
    <w:p w:rsidR="00405E7A" w:rsidRPr="00405E7A" w:rsidRDefault="00405E7A" w:rsidP="00405E7A">
      <w:pPr>
        <w:pStyle w:val="a-000"/>
        <w:rPr>
          <w:szCs w:val="22"/>
        </w:rPr>
      </w:pPr>
      <w:r w:rsidRPr="00405E7A">
        <w:rPr>
          <w:szCs w:val="22"/>
        </w:rPr>
        <w:tab/>
        <w:t>(</w:t>
      </w:r>
      <w:proofErr w:type="spellStart"/>
      <w:r w:rsidRPr="00405E7A">
        <w:rPr>
          <w:szCs w:val="22"/>
        </w:rPr>
        <w:t>i</w:t>
      </w:r>
      <w:proofErr w:type="spellEnd"/>
      <w:r w:rsidRPr="00405E7A">
        <w:rPr>
          <w:szCs w:val="22"/>
        </w:rPr>
        <w:t>)</w:t>
      </w:r>
      <w:r w:rsidRPr="00405E7A">
        <w:rPr>
          <w:szCs w:val="22"/>
        </w:rPr>
        <w:tab/>
      </w:r>
      <w:proofErr w:type="gramStart"/>
      <w:r w:rsidRPr="00405E7A">
        <w:rPr>
          <w:szCs w:val="22"/>
        </w:rPr>
        <w:t>a</w:t>
      </w:r>
      <w:proofErr w:type="gramEnd"/>
      <w:r w:rsidRPr="00405E7A">
        <w:rPr>
          <w:szCs w:val="22"/>
        </w:rPr>
        <w:t xml:space="preserve"> statement that </w:t>
      </w:r>
      <w:r w:rsidRPr="00405E7A">
        <w:rPr>
          <w:spacing w:val="-2"/>
          <w:szCs w:val="22"/>
        </w:rPr>
        <w:t>all renounceable letters dispatched by the applicant to registered</w:t>
      </w:r>
      <w:r w:rsidRPr="00405E7A">
        <w:rPr>
          <w:szCs w:val="22"/>
        </w:rPr>
        <w:t xml:space="preserve"> shareholders will be sent by registered mail and by airmail wherever this is possible; </w:t>
      </w:r>
    </w:p>
    <w:p w:rsidR="00405E7A" w:rsidRPr="00405E7A" w:rsidRDefault="00405E7A" w:rsidP="00405E7A">
      <w:pPr>
        <w:pStyle w:val="a-000"/>
        <w:rPr>
          <w:szCs w:val="22"/>
        </w:rPr>
      </w:pPr>
      <w:r w:rsidRPr="00405E7A">
        <w:rPr>
          <w:szCs w:val="22"/>
        </w:rPr>
        <w:tab/>
        <w:t>(j)</w:t>
      </w:r>
      <w:r w:rsidRPr="00405E7A">
        <w:rPr>
          <w:szCs w:val="22"/>
        </w:rPr>
        <w:tab/>
      </w:r>
      <w:proofErr w:type="gramStart"/>
      <w:r w:rsidRPr="00405E7A">
        <w:rPr>
          <w:szCs w:val="22"/>
        </w:rPr>
        <w:t>the</w:t>
      </w:r>
      <w:proofErr w:type="gramEnd"/>
      <w:r w:rsidRPr="00405E7A">
        <w:rPr>
          <w:szCs w:val="22"/>
        </w:rPr>
        <w:t xml:space="preserve"> date on which the securities are to be allotted and issued; and</w:t>
      </w:r>
    </w:p>
    <w:p w:rsidR="00405E7A" w:rsidRPr="00405E7A" w:rsidRDefault="00405E7A" w:rsidP="00405E7A">
      <w:pPr>
        <w:pStyle w:val="a-000"/>
        <w:rPr>
          <w:szCs w:val="22"/>
        </w:rPr>
      </w:pPr>
      <w:r w:rsidRPr="00405E7A">
        <w:rPr>
          <w:szCs w:val="22"/>
        </w:rPr>
        <w:tab/>
        <w:t>(k)</w:t>
      </w:r>
      <w:r w:rsidRPr="00405E7A">
        <w:rPr>
          <w:szCs w:val="22"/>
        </w:rPr>
        <w:tab/>
      </w:r>
      <w:proofErr w:type="gramStart"/>
      <w:r w:rsidRPr="00405E7A">
        <w:rPr>
          <w:szCs w:val="22"/>
        </w:rPr>
        <w:t>the</w:t>
      </w:r>
      <w:proofErr w:type="gramEnd"/>
      <w:r w:rsidRPr="00405E7A">
        <w:rPr>
          <w:szCs w:val="22"/>
        </w:rPr>
        <w:t xml:space="preserve"> date on which the renounceable letters are to be allotted and issued.</w:t>
      </w:r>
    </w:p>
    <w:p w:rsidR="00405E7A" w:rsidRPr="00405E7A" w:rsidRDefault="00570CC9" w:rsidP="00405E7A">
      <w:pPr>
        <w:pStyle w:val="000"/>
        <w:rPr>
          <w:szCs w:val="22"/>
        </w:rPr>
      </w:pPr>
      <w:r>
        <w:rPr>
          <w:szCs w:val="22"/>
        </w:rPr>
        <w:t>1</w:t>
      </w:r>
      <w:r w:rsidR="00405E7A" w:rsidRPr="00405E7A">
        <w:rPr>
          <w:szCs w:val="22"/>
        </w:rPr>
        <w:t>.2</w:t>
      </w:r>
      <w:r w:rsidR="00405E7A" w:rsidRPr="00405E7A">
        <w:rPr>
          <w:szCs w:val="22"/>
        </w:rPr>
        <w:tab/>
        <w:t>The application must be signed by the company secretary and a director, or equivalent, of the applicant and by the sponsor.</w:t>
      </w:r>
    </w:p>
    <w:p w:rsidR="00405E7A" w:rsidRPr="00405E7A" w:rsidRDefault="00570CC9" w:rsidP="00405E7A">
      <w:pPr>
        <w:pStyle w:val="000"/>
        <w:rPr>
          <w:szCs w:val="22"/>
        </w:rPr>
      </w:pPr>
      <w:r>
        <w:rPr>
          <w:szCs w:val="22"/>
        </w:rPr>
        <w:t>1</w:t>
      </w:r>
      <w:r w:rsidR="00405E7A" w:rsidRPr="00405E7A">
        <w:rPr>
          <w:szCs w:val="22"/>
        </w:rPr>
        <w:t>.3</w:t>
      </w:r>
      <w:r w:rsidR="00405E7A" w:rsidRPr="00405E7A">
        <w:rPr>
          <w:szCs w:val="22"/>
        </w:rPr>
        <w:tab/>
        <w:t>The application must be accompanied by a resolution of the directors, or equivalent, of the applicant authorising the application for listing together with the relevant listing fee.</w:t>
      </w:r>
    </w:p>
    <w:p w:rsidR="00010BF9" w:rsidRPr="00405E7A" w:rsidRDefault="00010BF9" w:rsidP="00AD69DE">
      <w:pPr>
        <w:spacing w:before="0" w:after="200" w:line="276" w:lineRule="auto"/>
        <w:jc w:val="left"/>
      </w:pPr>
    </w:p>
    <w:sectPr w:rsidR="00010BF9" w:rsidRPr="00405E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3B63" w:rsidRDefault="001F3B63" w:rsidP="00010BF9">
      <w:pPr>
        <w:spacing w:before="0" w:line="240" w:lineRule="auto"/>
      </w:pPr>
      <w:r>
        <w:separator/>
      </w:r>
    </w:p>
  </w:endnote>
  <w:endnote w:type="continuationSeparator" w:id="0">
    <w:p w:rsidR="001F3B63" w:rsidRDefault="001F3B63" w:rsidP="00010BF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-Light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3B63" w:rsidRDefault="001F3B63" w:rsidP="00010BF9">
      <w:pPr>
        <w:spacing w:before="0" w:line="240" w:lineRule="auto"/>
      </w:pPr>
      <w:r>
        <w:separator/>
      </w:r>
    </w:p>
  </w:footnote>
  <w:footnote w:type="continuationSeparator" w:id="0">
    <w:p w:rsidR="001F3B63" w:rsidRDefault="001F3B63" w:rsidP="00010BF9">
      <w:pPr>
        <w:spacing w:before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644"/>
    <w:rsid w:val="00010BF9"/>
    <w:rsid w:val="00014644"/>
    <w:rsid w:val="00021E3E"/>
    <w:rsid w:val="001F3B63"/>
    <w:rsid w:val="00405E7A"/>
    <w:rsid w:val="00570CC9"/>
    <w:rsid w:val="00823F74"/>
    <w:rsid w:val="00900FF3"/>
    <w:rsid w:val="009826EF"/>
    <w:rsid w:val="00AB4C10"/>
    <w:rsid w:val="00AD69DE"/>
    <w:rsid w:val="00B5132D"/>
    <w:rsid w:val="00E12685"/>
    <w:rsid w:val="00E85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0BF9"/>
    <w:pPr>
      <w:spacing w:before="40" w:after="0" w:line="200" w:lineRule="exact"/>
      <w:jc w:val="both"/>
    </w:pPr>
    <w:rPr>
      <w:rFonts w:ascii="Helvetica-Light" w:eastAsia="Times New Roman" w:hAnsi="Helvetica-Light" w:cs="Times New Roman"/>
      <w:sz w:val="18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1">
    <w:name w:val="head1"/>
    <w:basedOn w:val="Normal"/>
    <w:rsid w:val="00010BF9"/>
    <w:pPr>
      <w:widowControl w:val="0"/>
      <w:spacing w:before="360" w:line="240" w:lineRule="auto"/>
      <w:jc w:val="left"/>
    </w:pPr>
    <w:rPr>
      <w:rFonts w:ascii="Times New Roman" w:hAnsi="Times New Roman"/>
      <w:b/>
      <w:sz w:val="24"/>
    </w:rPr>
  </w:style>
  <w:style w:type="paragraph" w:customStyle="1" w:styleId="footnotes">
    <w:name w:val="footnotes"/>
    <w:basedOn w:val="Normal"/>
    <w:rsid w:val="00010BF9"/>
    <w:pPr>
      <w:tabs>
        <w:tab w:val="left" w:pos="340"/>
      </w:tabs>
      <w:spacing w:before="0" w:line="240" w:lineRule="auto"/>
      <w:ind w:left="340" w:hanging="340"/>
    </w:pPr>
    <w:rPr>
      <w:rFonts w:ascii="Times New Roman" w:hAnsi="Times New Roman"/>
      <w:sz w:val="20"/>
    </w:rPr>
  </w:style>
  <w:style w:type="character" w:styleId="FootnoteReference">
    <w:name w:val="footnote reference"/>
    <w:uiPriority w:val="99"/>
    <w:rsid w:val="00010BF9"/>
    <w:rPr>
      <w:vertAlign w:val="superscript"/>
    </w:rPr>
  </w:style>
  <w:style w:type="paragraph" w:customStyle="1" w:styleId="a-000">
    <w:name w:val="(a)-0.00"/>
    <w:basedOn w:val="Normal"/>
    <w:link w:val="a-000Char"/>
    <w:rsid w:val="00010BF9"/>
    <w:pPr>
      <w:widowControl w:val="0"/>
      <w:tabs>
        <w:tab w:val="left" w:pos="794"/>
        <w:tab w:val="left" w:pos="1304"/>
      </w:tabs>
      <w:spacing w:before="120" w:line="240" w:lineRule="auto"/>
      <w:ind w:left="1304" w:hanging="1304"/>
    </w:pPr>
    <w:rPr>
      <w:rFonts w:ascii="Times New Roman" w:hAnsi="Times New Roman"/>
      <w:sz w:val="22"/>
    </w:rPr>
  </w:style>
  <w:style w:type="paragraph" w:customStyle="1" w:styleId="000">
    <w:name w:val="0.00"/>
    <w:basedOn w:val="Normal"/>
    <w:rsid w:val="00010BF9"/>
    <w:pPr>
      <w:widowControl w:val="0"/>
      <w:tabs>
        <w:tab w:val="left" w:pos="794"/>
      </w:tabs>
      <w:spacing w:before="120" w:line="240" w:lineRule="auto"/>
      <w:ind w:left="794" w:hanging="794"/>
    </w:pPr>
    <w:rPr>
      <w:rFonts w:ascii="Times New Roman" w:hAnsi="Times New Roman"/>
      <w:sz w:val="22"/>
    </w:rPr>
  </w:style>
  <w:style w:type="character" w:customStyle="1" w:styleId="a-000Char">
    <w:name w:val="(a)-0.00 Char"/>
    <w:link w:val="a-000"/>
    <w:rsid w:val="00010BF9"/>
    <w:rPr>
      <w:rFonts w:ascii="Times New Roman" w:eastAsia="Times New Roman" w:hAnsi="Times New Roman" w:cs="Times New Roman"/>
      <w:szCs w:val="20"/>
      <w:lang w:val="en-GB"/>
    </w:rPr>
  </w:style>
  <w:style w:type="paragraph" w:customStyle="1" w:styleId="i-000a">
    <w:name w:val="(i)-0.00(a)"/>
    <w:basedOn w:val="Normal"/>
    <w:rsid w:val="00010BF9"/>
    <w:pPr>
      <w:widowControl w:val="0"/>
      <w:tabs>
        <w:tab w:val="right" w:pos="1758"/>
        <w:tab w:val="left" w:pos="1928"/>
      </w:tabs>
      <w:spacing w:before="120" w:line="240" w:lineRule="auto"/>
      <w:ind w:left="1928" w:hanging="1928"/>
    </w:pPr>
    <w:rPr>
      <w:rFonts w:ascii="Times New Roman" w:hAnsi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0BF9"/>
    <w:pPr>
      <w:spacing w:before="40" w:after="0" w:line="200" w:lineRule="exact"/>
      <w:jc w:val="both"/>
    </w:pPr>
    <w:rPr>
      <w:rFonts w:ascii="Helvetica-Light" w:eastAsia="Times New Roman" w:hAnsi="Helvetica-Light" w:cs="Times New Roman"/>
      <w:sz w:val="18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1">
    <w:name w:val="head1"/>
    <w:basedOn w:val="Normal"/>
    <w:rsid w:val="00010BF9"/>
    <w:pPr>
      <w:widowControl w:val="0"/>
      <w:spacing w:before="360" w:line="240" w:lineRule="auto"/>
      <w:jc w:val="left"/>
    </w:pPr>
    <w:rPr>
      <w:rFonts w:ascii="Times New Roman" w:hAnsi="Times New Roman"/>
      <w:b/>
      <w:sz w:val="24"/>
    </w:rPr>
  </w:style>
  <w:style w:type="paragraph" w:customStyle="1" w:styleId="footnotes">
    <w:name w:val="footnotes"/>
    <w:basedOn w:val="Normal"/>
    <w:rsid w:val="00010BF9"/>
    <w:pPr>
      <w:tabs>
        <w:tab w:val="left" w:pos="340"/>
      </w:tabs>
      <w:spacing w:before="0" w:line="240" w:lineRule="auto"/>
      <w:ind w:left="340" w:hanging="340"/>
    </w:pPr>
    <w:rPr>
      <w:rFonts w:ascii="Times New Roman" w:hAnsi="Times New Roman"/>
      <w:sz w:val="20"/>
    </w:rPr>
  </w:style>
  <w:style w:type="character" w:styleId="FootnoteReference">
    <w:name w:val="footnote reference"/>
    <w:uiPriority w:val="99"/>
    <w:rsid w:val="00010BF9"/>
    <w:rPr>
      <w:vertAlign w:val="superscript"/>
    </w:rPr>
  </w:style>
  <w:style w:type="paragraph" w:customStyle="1" w:styleId="a-000">
    <w:name w:val="(a)-0.00"/>
    <w:basedOn w:val="Normal"/>
    <w:link w:val="a-000Char"/>
    <w:rsid w:val="00010BF9"/>
    <w:pPr>
      <w:widowControl w:val="0"/>
      <w:tabs>
        <w:tab w:val="left" w:pos="794"/>
        <w:tab w:val="left" w:pos="1304"/>
      </w:tabs>
      <w:spacing w:before="120" w:line="240" w:lineRule="auto"/>
      <w:ind w:left="1304" w:hanging="1304"/>
    </w:pPr>
    <w:rPr>
      <w:rFonts w:ascii="Times New Roman" w:hAnsi="Times New Roman"/>
      <w:sz w:val="22"/>
    </w:rPr>
  </w:style>
  <w:style w:type="paragraph" w:customStyle="1" w:styleId="000">
    <w:name w:val="0.00"/>
    <w:basedOn w:val="Normal"/>
    <w:rsid w:val="00010BF9"/>
    <w:pPr>
      <w:widowControl w:val="0"/>
      <w:tabs>
        <w:tab w:val="left" w:pos="794"/>
      </w:tabs>
      <w:spacing w:before="120" w:line="240" w:lineRule="auto"/>
      <w:ind w:left="794" w:hanging="794"/>
    </w:pPr>
    <w:rPr>
      <w:rFonts w:ascii="Times New Roman" w:hAnsi="Times New Roman"/>
      <w:sz w:val="22"/>
    </w:rPr>
  </w:style>
  <w:style w:type="character" w:customStyle="1" w:styleId="a-000Char">
    <w:name w:val="(a)-0.00 Char"/>
    <w:link w:val="a-000"/>
    <w:rsid w:val="00010BF9"/>
    <w:rPr>
      <w:rFonts w:ascii="Times New Roman" w:eastAsia="Times New Roman" w:hAnsi="Times New Roman" w:cs="Times New Roman"/>
      <w:szCs w:val="20"/>
      <w:lang w:val="en-GB"/>
    </w:rPr>
  </w:style>
  <w:style w:type="paragraph" w:customStyle="1" w:styleId="i-000a">
    <w:name w:val="(i)-0.00(a)"/>
    <w:basedOn w:val="Normal"/>
    <w:rsid w:val="00010BF9"/>
    <w:pPr>
      <w:widowControl w:val="0"/>
      <w:tabs>
        <w:tab w:val="right" w:pos="1758"/>
        <w:tab w:val="left" w:pos="1928"/>
      </w:tabs>
      <w:spacing w:before="120" w:line="240" w:lineRule="auto"/>
      <w:ind w:left="1928" w:hanging="1928"/>
    </w:pPr>
    <w:rPr>
      <w:rFonts w:ascii="Times New Roman" w:hAnsi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Announcement" ma:contentTypeID="0x01010025A8B514A743974EAD575655CE6523730200C011C70D0DD3644D8AF5E0D3029E4905" ma:contentTypeVersion="2" ma:contentTypeDescription="Create a new document." ma:contentTypeScope="" ma:versionID="0349e1485e1b13114124222c9bbdd2b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13d5435fc48c3291bab2d33fb7f8453a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05b3ea50-81ed-432d-bdcf-e7540578ef79}" ma:internalName="TaxCatchAll" ma:showField="CatchAllData" ma:web="a5d7cc70-31c1-4b2e-9a12-faea9898ee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05b3ea50-81ed-432d-bdcf-e7540578ef79}" ma:internalName="TaxCatchAllLabel" ma:readOnly="true" ma:showField="CatchAllDataLabel" ma:web="a5d7cc70-31c1-4b2e-9a12-faea9898ee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2014-09-24T22:00:00+00:00</JSEDate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ED839DEB-5795-49A1-B02B-7858430A75A4}"/>
</file>

<file path=customXml/itemProps2.xml><?xml version="1.0" encoding="utf-8"?>
<ds:datastoreItem xmlns:ds="http://schemas.openxmlformats.org/officeDocument/2006/customXml" ds:itemID="{FD1DCD70-5D17-4B8E-A9BB-1D140FC5696E}"/>
</file>

<file path=customXml/itemProps3.xml><?xml version="1.0" encoding="utf-8"?>
<ds:datastoreItem xmlns:ds="http://schemas.openxmlformats.org/officeDocument/2006/customXml" ds:itemID="{4B8C166E-5C8F-4241-941B-06F7CA8D361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Schedule 2 Form A1</vt:lpstr>
    </vt:vector>
  </TitlesOfParts>
  <Company/>
  <LinksUpToDate>false</LinksUpToDate>
  <CharactersWithSpaces>1711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Schedule 2 Form A1</dc:title>
  <dc:creator>Jseuser</dc:creator>
  <cp:lastModifiedBy>Alwyn Fouchee</cp:lastModifiedBy>
  <cp:revision>4</cp:revision>
  <dcterms:created xsi:type="dcterms:W3CDTF">2017-12-05T09:11:00Z</dcterms:created>
  <dcterms:modified xsi:type="dcterms:W3CDTF">2017-12-27T09:57:00Z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0x01010025A8B514A743974EAD575655CE6523730200C011C70D0DD3644D8AF5E0D3029E4905</vt:lpwstr>
  </property>
  <property fmtid="{D5CDD505-2E9C-101B-9397-08002B2CF9AE}" pid="3" name="JSENavigation">
    <vt:lpwstr/>
  </property>
</Properties>
</file>