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2849" w14:textId="77777777" w:rsidR="00B76EBB" w:rsidRPr="00DD5347" w:rsidRDefault="00B76EBB" w:rsidP="00D30326">
      <w:pPr>
        <w:pStyle w:val="parafullout"/>
        <w:jc w:val="both"/>
        <w:rPr>
          <w:b/>
          <w:szCs w:val="22"/>
        </w:rPr>
      </w:pPr>
      <w:r w:rsidRPr="00B77E6D">
        <w:rPr>
          <w:b/>
          <w:szCs w:val="22"/>
        </w:rPr>
        <w:t>Annual Report Questionnaire</w:t>
      </w:r>
      <w:r w:rsidR="0029765A" w:rsidRPr="00DD5347">
        <w:rPr>
          <w:b/>
          <w:szCs w:val="22"/>
        </w:rPr>
        <w:t xml:space="preserve"> –</w:t>
      </w:r>
      <w:r w:rsidR="00F21D50" w:rsidRPr="00DD5347">
        <w:rPr>
          <w:b/>
          <w:szCs w:val="22"/>
        </w:rPr>
        <w:t xml:space="preserve"> </w:t>
      </w:r>
      <w:r w:rsidR="0029765A" w:rsidRPr="00DD5347">
        <w:rPr>
          <w:b/>
          <w:szCs w:val="22"/>
        </w:rPr>
        <w:t>Equity and Hybrid Issuers</w:t>
      </w:r>
      <w:r w:rsidR="003C26B5" w:rsidRPr="00DD5347">
        <w:rPr>
          <w:b/>
          <w:szCs w:val="22"/>
        </w:rPr>
        <w:t xml:space="preserve"> </w:t>
      </w:r>
    </w:p>
    <w:p w14:paraId="6F4B6201" w14:textId="2984960C" w:rsidR="003C26B5" w:rsidRDefault="00DD5347" w:rsidP="00D30326">
      <w:pPr>
        <w:pStyle w:val="parafullout"/>
        <w:jc w:val="both"/>
        <w:rPr>
          <w:rFonts w:cs="Times New Roman"/>
          <w:b/>
          <w:szCs w:val="22"/>
        </w:rPr>
      </w:pPr>
      <w:r w:rsidRPr="00DD5347">
        <w:rPr>
          <w:rFonts w:cs="Times New Roman"/>
          <w:b/>
          <w:szCs w:val="22"/>
        </w:rPr>
        <w:t>I</w:t>
      </w:r>
      <w:r w:rsidR="003C26B5" w:rsidRPr="00DD5347">
        <w:rPr>
          <w:rFonts w:cs="Times New Roman"/>
          <w:b/>
          <w:szCs w:val="22"/>
        </w:rPr>
        <w:t>ssuer Name</w:t>
      </w:r>
      <w:r w:rsidRPr="00DD5347">
        <w:rPr>
          <w:rFonts w:cs="Times New Roman"/>
          <w:b/>
          <w:szCs w:val="22"/>
        </w:rPr>
        <w:tab/>
      </w:r>
      <w:r w:rsidR="00BF40D8">
        <w:rPr>
          <w:rFonts w:cs="Times New Roman"/>
          <w:b/>
          <w:szCs w:val="22"/>
        </w:rPr>
        <w:t>___________________________</w:t>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Pr="00DD5347">
        <w:rPr>
          <w:rFonts w:cs="Times New Roman"/>
          <w:b/>
          <w:szCs w:val="22"/>
        </w:rPr>
        <w:tab/>
      </w:r>
      <w:r w:rsidR="003C26B5" w:rsidRPr="00DD5347">
        <w:rPr>
          <w:rFonts w:cs="Times New Roman"/>
          <w:b/>
          <w:szCs w:val="22"/>
        </w:rPr>
        <w:t xml:space="preserve">Financial </w:t>
      </w:r>
      <w:r w:rsidR="00267111" w:rsidRPr="00DD5347">
        <w:rPr>
          <w:rFonts w:cs="Times New Roman"/>
          <w:b/>
          <w:szCs w:val="22"/>
        </w:rPr>
        <w:t>year</w:t>
      </w:r>
      <w:r w:rsidR="00267111">
        <w:rPr>
          <w:rFonts w:cs="Times New Roman"/>
          <w:b/>
          <w:szCs w:val="22"/>
        </w:rPr>
        <w:t xml:space="preserve"> _</w:t>
      </w:r>
      <w:r w:rsidR="00BF40D8">
        <w:rPr>
          <w:rFonts w:cs="Times New Roman"/>
          <w:b/>
          <w:szCs w:val="22"/>
        </w:rPr>
        <w:t>_____________</w:t>
      </w:r>
    </w:p>
    <w:p w14:paraId="7F788600" w14:textId="4A128A69" w:rsidR="00267111" w:rsidRDefault="00267111" w:rsidP="00D30326">
      <w:pPr>
        <w:pStyle w:val="parafullout"/>
        <w:jc w:val="both"/>
        <w:rPr>
          <w:rFonts w:cs="Times New Roman"/>
          <w:bCs/>
          <w:i/>
          <w:iCs/>
          <w:color w:val="00B050"/>
          <w:szCs w:val="22"/>
        </w:rPr>
      </w:pPr>
      <w:r w:rsidRPr="00267111">
        <w:rPr>
          <w:rFonts w:cs="Times New Roman"/>
          <w:bCs/>
          <w:i/>
          <w:iCs/>
          <w:color w:val="00B050"/>
          <w:szCs w:val="22"/>
        </w:rPr>
        <w:t>NB: Has the Annual Financial Statement Questionnaire of the issuer been submitted</w:t>
      </w:r>
      <w:r w:rsidR="00AB6CEA">
        <w:rPr>
          <w:rFonts w:cs="Times New Roman"/>
          <w:bCs/>
          <w:i/>
          <w:iCs/>
          <w:color w:val="00B050"/>
          <w:szCs w:val="22"/>
        </w:rPr>
        <w:t xml:space="preserve"> on WEBSTIR</w:t>
      </w:r>
      <w:r w:rsidRPr="00267111">
        <w:rPr>
          <w:rFonts w:cs="Times New Roman"/>
          <w:bCs/>
          <w:i/>
          <w:iCs/>
          <w:color w:val="00B050"/>
          <w:szCs w:val="22"/>
        </w:rPr>
        <w:t xml:space="preserve"> with the audited annual financial statements?</w:t>
      </w:r>
    </w:p>
    <w:p w14:paraId="374B4F91" w14:textId="77777777" w:rsidR="000342D9" w:rsidRPr="00267111" w:rsidRDefault="000342D9" w:rsidP="00D30326">
      <w:pPr>
        <w:pStyle w:val="parafullout"/>
        <w:jc w:val="both"/>
        <w:rPr>
          <w:rFonts w:cs="Times New Roman"/>
          <w:bCs/>
          <w:i/>
          <w:iCs/>
          <w:szCs w:val="22"/>
        </w:rPr>
      </w:pPr>
    </w:p>
    <w:tbl>
      <w:tblPr>
        <w:tblW w:w="5000" w:type="pct"/>
        <w:tblLook w:val="0000" w:firstRow="0" w:lastRow="0" w:firstColumn="0" w:lastColumn="0" w:noHBand="0" w:noVBand="0"/>
      </w:tblPr>
      <w:tblGrid>
        <w:gridCol w:w="1622"/>
        <w:gridCol w:w="10571"/>
        <w:gridCol w:w="2367"/>
      </w:tblGrid>
      <w:tr w:rsidR="00B76EBB" w:rsidRPr="00D56147" w14:paraId="5FFC0103"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39FBA584" w14:textId="77777777" w:rsidR="00B76EBB" w:rsidRPr="00D56147" w:rsidRDefault="00001121" w:rsidP="00D30326">
            <w:pPr>
              <w:jc w:val="both"/>
              <w:rPr>
                <w:b/>
                <w:bCs/>
              </w:rPr>
            </w:pPr>
            <w:r>
              <w:rPr>
                <w:b/>
                <w:bCs/>
              </w:rPr>
              <w:t xml:space="preserve">JSE </w:t>
            </w:r>
            <w:r w:rsidR="00B76EBB" w:rsidRPr="00D56147">
              <w:rPr>
                <w:b/>
                <w:bCs/>
              </w:rPr>
              <w:t>LR REF</w:t>
            </w:r>
          </w:p>
        </w:tc>
        <w:tc>
          <w:tcPr>
            <w:tcW w:w="3630" w:type="pct"/>
            <w:tcBorders>
              <w:top w:val="single" w:sz="4" w:space="0" w:color="auto"/>
              <w:left w:val="nil"/>
              <w:bottom w:val="single" w:sz="4" w:space="0" w:color="auto"/>
              <w:right w:val="single" w:sz="4" w:space="0" w:color="auto"/>
            </w:tcBorders>
            <w:shd w:val="clear" w:color="auto" w:fill="auto"/>
            <w:vAlign w:val="bottom"/>
          </w:tcPr>
          <w:p w14:paraId="06099B30" w14:textId="77777777" w:rsidR="00B76EBB" w:rsidRPr="00D56147" w:rsidRDefault="00B76EBB" w:rsidP="00D30326">
            <w:pPr>
              <w:jc w:val="both"/>
              <w:rPr>
                <w:b/>
                <w:bCs/>
              </w:rPr>
            </w:pPr>
            <w:r w:rsidRPr="00D56147">
              <w:rPr>
                <w:b/>
                <w:bCs/>
              </w:rPr>
              <w:t xml:space="preserve">SUMMARY [ Primary Listings – Mainboard and </w:t>
            </w:r>
            <w:proofErr w:type="spellStart"/>
            <w:r w:rsidRPr="00D56147">
              <w:rPr>
                <w:b/>
                <w:bCs/>
              </w:rPr>
              <w:t>AltX</w:t>
            </w:r>
            <w:proofErr w:type="spellEnd"/>
            <w:r w:rsidRPr="00D56147">
              <w:rPr>
                <w:b/>
                <w:bCs/>
              </w:rPr>
              <w:t>]</w:t>
            </w:r>
          </w:p>
        </w:tc>
        <w:tc>
          <w:tcPr>
            <w:tcW w:w="813" w:type="pct"/>
            <w:tcBorders>
              <w:top w:val="single" w:sz="4" w:space="0" w:color="auto"/>
              <w:left w:val="nil"/>
              <w:bottom w:val="single" w:sz="4" w:space="0" w:color="auto"/>
              <w:right w:val="single" w:sz="4" w:space="0" w:color="auto"/>
            </w:tcBorders>
            <w:shd w:val="clear" w:color="auto" w:fill="auto"/>
            <w:vAlign w:val="bottom"/>
          </w:tcPr>
          <w:p w14:paraId="399338EF" w14:textId="77777777" w:rsidR="00B76EBB" w:rsidRPr="00D56147" w:rsidRDefault="00B76EBB" w:rsidP="00D30326">
            <w:pPr>
              <w:jc w:val="both"/>
              <w:rPr>
                <w:b/>
                <w:bCs/>
              </w:rPr>
            </w:pPr>
            <w:r w:rsidRPr="00D56147">
              <w:rPr>
                <w:b/>
                <w:bCs/>
              </w:rPr>
              <w:t>State reference/ Page number.</w:t>
            </w:r>
          </w:p>
        </w:tc>
      </w:tr>
      <w:tr w:rsidR="00BF40D8" w:rsidRPr="00D56147" w14:paraId="2606980D"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6E795A93" w14:textId="77777777" w:rsidR="00BF40D8" w:rsidRDefault="00BF40D8" w:rsidP="00D30326">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4094BC87" w14:textId="07C6C9CE" w:rsidR="00BF40D8" w:rsidRPr="00D56147" w:rsidRDefault="00BF40D8" w:rsidP="00BF40D8">
            <w:pPr>
              <w:jc w:val="both"/>
              <w:rPr>
                <w:b/>
                <w:bCs/>
              </w:rPr>
            </w:pPr>
            <w:r w:rsidRPr="00BF40D8">
              <w:rPr>
                <w:b/>
                <w:bCs/>
              </w:rPr>
              <w:t>Additional content for annual reports</w:t>
            </w:r>
          </w:p>
        </w:tc>
        <w:tc>
          <w:tcPr>
            <w:tcW w:w="813" w:type="pct"/>
            <w:tcBorders>
              <w:top w:val="single" w:sz="4" w:space="0" w:color="auto"/>
              <w:left w:val="nil"/>
              <w:bottom w:val="single" w:sz="4" w:space="0" w:color="auto"/>
              <w:right w:val="single" w:sz="4" w:space="0" w:color="auto"/>
            </w:tcBorders>
            <w:shd w:val="clear" w:color="auto" w:fill="auto"/>
            <w:vAlign w:val="bottom"/>
          </w:tcPr>
          <w:p w14:paraId="25115C17" w14:textId="77777777" w:rsidR="00BF40D8" w:rsidRPr="00D56147" w:rsidRDefault="00BF40D8" w:rsidP="00D30326">
            <w:pPr>
              <w:jc w:val="both"/>
              <w:rPr>
                <w:b/>
                <w:bCs/>
              </w:rPr>
            </w:pPr>
          </w:p>
        </w:tc>
      </w:tr>
      <w:tr w:rsidR="00E92014" w:rsidRPr="00D56147" w14:paraId="6F6FD261"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5B1ABAFD" w14:textId="77777777" w:rsidR="00371051" w:rsidRDefault="00371051" w:rsidP="000342D9">
            <w:pPr>
              <w:jc w:val="both"/>
              <w:rPr>
                <w:b/>
                <w:bCs/>
              </w:rPr>
            </w:pPr>
            <w:r w:rsidRPr="00371051">
              <w:rPr>
                <w:b/>
                <w:bCs/>
              </w:rPr>
              <w:t>8.64 (a)</w:t>
            </w:r>
          </w:p>
          <w:p w14:paraId="1360E44E" w14:textId="77777777" w:rsidR="000342D9" w:rsidRDefault="000342D9" w:rsidP="000342D9">
            <w:pPr>
              <w:jc w:val="both"/>
              <w:rPr>
                <w:b/>
                <w:bCs/>
              </w:rPr>
            </w:pPr>
          </w:p>
          <w:p w14:paraId="71232A10" w14:textId="77777777" w:rsidR="000342D9" w:rsidRDefault="000342D9" w:rsidP="000342D9">
            <w:pPr>
              <w:jc w:val="both"/>
              <w:rPr>
                <w:b/>
                <w:bCs/>
              </w:rPr>
            </w:pPr>
          </w:p>
          <w:p w14:paraId="5753AB33" w14:textId="77777777" w:rsidR="000342D9" w:rsidRDefault="000342D9" w:rsidP="000342D9">
            <w:pPr>
              <w:jc w:val="both"/>
              <w:rPr>
                <w:b/>
                <w:bCs/>
              </w:rPr>
            </w:pPr>
          </w:p>
          <w:p w14:paraId="687E61D1" w14:textId="77777777" w:rsidR="000342D9" w:rsidRDefault="000342D9" w:rsidP="000342D9">
            <w:pPr>
              <w:jc w:val="both"/>
              <w:rPr>
                <w:b/>
                <w:bCs/>
              </w:rPr>
            </w:pPr>
          </w:p>
          <w:p w14:paraId="437715F5" w14:textId="77777777" w:rsidR="000342D9" w:rsidRDefault="000342D9" w:rsidP="000342D9">
            <w:pPr>
              <w:jc w:val="both"/>
              <w:rPr>
                <w:b/>
                <w:bCs/>
              </w:rPr>
            </w:pPr>
          </w:p>
          <w:p w14:paraId="6577FE2C" w14:textId="77777777" w:rsidR="000342D9" w:rsidRDefault="000342D9" w:rsidP="000342D9">
            <w:pPr>
              <w:jc w:val="both"/>
              <w:rPr>
                <w:b/>
                <w:bCs/>
              </w:rPr>
            </w:pPr>
          </w:p>
          <w:p w14:paraId="1C9E7333" w14:textId="77777777" w:rsidR="000342D9" w:rsidRDefault="000342D9" w:rsidP="000342D9">
            <w:pPr>
              <w:jc w:val="both"/>
              <w:rPr>
                <w:b/>
                <w:bCs/>
              </w:rPr>
            </w:pPr>
          </w:p>
          <w:p w14:paraId="38ECA2B9" w14:textId="77777777" w:rsidR="000342D9" w:rsidRDefault="000342D9" w:rsidP="000342D9">
            <w:pPr>
              <w:jc w:val="both"/>
              <w:rPr>
                <w:b/>
                <w:bCs/>
              </w:rPr>
            </w:pPr>
          </w:p>
          <w:p w14:paraId="5FC08085" w14:textId="6DE1F421" w:rsidR="000342D9" w:rsidRPr="00371051" w:rsidRDefault="000342D9" w:rsidP="000342D9">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5B77969C" w14:textId="19C61C52" w:rsidR="00371051" w:rsidRPr="004605BF" w:rsidRDefault="00371051" w:rsidP="00371051">
            <w:pPr>
              <w:jc w:val="both"/>
              <w:rPr>
                <w:b/>
                <w:bCs/>
              </w:rPr>
            </w:pPr>
            <w:r w:rsidRPr="004605BF">
              <w:rPr>
                <w:b/>
                <w:bCs/>
              </w:rPr>
              <w:t>Issuers are required to provide disclosure of the following supplementary information:</w:t>
            </w:r>
          </w:p>
          <w:p w14:paraId="15D9D284" w14:textId="24EEF32F" w:rsidR="00371051" w:rsidRPr="00371051" w:rsidRDefault="00371051" w:rsidP="00371051">
            <w:pPr>
              <w:jc w:val="both"/>
            </w:pPr>
            <w:r w:rsidRPr="00371051">
              <w:t>(a)</w:t>
            </w:r>
            <w:r w:rsidRPr="00371051">
              <w:tab/>
              <w:t>in respect of their application of the King Code:</w:t>
            </w:r>
          </w:p>
          <w:p w14:paraId="606DBE62" w14:textId="19B5AC3A" w:rsidR="00371051" w:rsidRPr="00371051" w:rsidRDefault="00371051" w:rsidP="004605BF">
            <w:pPr>
              <w:pStyle w:val="ListParagraph"/>
              <w:numPr>
                <w:ilvl w:val="0"/>
                <w:numId w:val="26"/>
              </w:numPr>
              <w:jc w:val="both"/>
            </w:pPr>
            <w:r w:rsidRPr="00371051">
              <w:t>the implementation of the King Code through the application of the King Code disclosure and application regime, which may be incorporated via a weblink; and</w:t>
            </w:r>
          </w:p>
          <w:p w14:paraId="498EC4DB" w14:textId="5DA60077" w:rsidR="00E92014" w:rsidRDefault="00371051" w:rsidP="004605BF">
            <w:pPr>
              <w:pStyle w:val="ListParagraph"/>
              <w:numPr>
                <w:ilvl w:val="0"/>
                <w:numId w:val="26"/>
              </w:numPr>
              <w:jc w:val="both"/>
            </w:pPr>
            <w:r w:rsidRPr="00371051">
              <w:t>a narrative on the non-binding advisory votes pursuant to paragraph 3.84(j), dealing specifically with (</w:t>
            </w:r>
            <w:r w:rsidR="00052BFC">
              <w:t>1</w:t>
            </w:r>
            <w:r w:rsidRPr="00371051">
              <w:t xml:space="preserve">) who the issuer engaged with and the manner and form of engagement and (2) the nature and steps taken to address </w:t>
            </w:r>
            <w:r w:rsidR="00E8192B" w:rsidRPr="00371051">
              <w:t>objections.</w:t>
            </w:r>
          </w:p>
          <w:p w14:paraId="2CAB2F8B" w14:textId="77777777" w:rsidR="004605BF" w:rsidRDefault="004605BF" w:rsidP="00371051">
            <w:pPr>
              <w:jc w:val="both"/>
              <w:rPr>
                <w:b/>
                <w:bCs/>
              </w:rPr>
            </w:pPr>
          </w:p>
          <w:p w14:paraId="01FCDE96" w14:textId="77777777" w:rsidR="0022647E" w:rsidRPr="004605BF" w:rsidRDefault="0022647E" w:rsidP="0022647E">
            <w:pPr>
              <w:jc w:val="both"/>
              <w:rPr>
                <w:color w:val="00B050"/>
              </w:rPr>
            </w:pPr>
            <w:proofErr w:type="spellStart"/>
            <w:r w:rsidRPr="004605BF">
              <w:rPr>
                <w:color w:val="00B050"/>
              </w:rPr>
              <w:t>AltX</w:t>
            </w:r>
            <w:proofErr w:type="spellEnd"/>
            <w:r w:rsidRPr="004605BF">
              <w:rPr>
                <w:color w:val="00B050"/>
              </w:rPr>
              <w:t>: 21.5: - The following provisions regarding corporate governance apply:</w:t>
            </w:r>
          </w:p>
          <w:p w14:paraId="0C88FF39" w14:textId="7EB3E081" w:rsidR="00E57DD2" w:rsidRDefault="0022647E" w:rsidP="00E57DD2">
            <w:pPr>
              <w:pStyle w:val="ListParagraph"/>
              <w:numPr>
                <w:ilvl w:val="0"/>
                <w:numId w:val="36"/>
              </w:numPr>
              <w:jc w:val="both"/>
              <w:rPr>
                <w:color w:val="00B050"/>
              </w:rPr>
            </w:pPr>
            <w:r w:rsidRPr="00E57DD2">
              <w:rPr>
                <w:color w:val="00B050"/>
              </w:rPr>
              <w:t xml:space="preserve">Application of the King Code disclosure and application regime to the principles set out in Part 5.3, Governing Structures and Delegation of the King </w:t>
            </w:r>
            <w:proofErr w:type="gramStart"/>
            <w:r w:rsidR="00E8192B" w:rsidRPr="00E57DD2">
              <w:rPr>
                <w:color w:val="00B050"/>
              </w:rPr>
              <w:t>Code;</w:t>
            </w:r>
            <w:proofErr w:type="gramEnd"/>
          </w:p>
          <w:p w14:paraId="770F60CE" w14:textId="1FAED4D1" w:rsidR="004605BF" w:rsidRPr="00127DBE" w:rsidRDefault="00127DBE" w:rsidP="00127DBE">
            <w:pPr>
              <w:pStyle w:val="ListParagraph"/>
              <w:numPr>
                <w:ilvl w:val="0"/>
                <w:numId w:val="36"/>
              </w:numPr>
              <w:jc w:val="both"/>
              <w:rPr>
                <w:color w:val="00B050"/>
              </w:rPr>
            </w:pPr>
            <w:r>
              <w:rPr>
                <w:color w:val="00B050"/>
              </w:rPr>
              <w:t xml:space="preserve">Paragraphs </w:t>
            </w:r>
            <w:r w:rsidRPr="000342D9">
              <w:rPr>
                <w:color w:val="00B050"/>
              </w:rPr>
              <w:t>3.84(g), (h), (</w:t>
            </w:r>
            <w:proofErr w:type="spellStart"/>
            <w:r w:rsidRPr="000342D9">
              <w:rPr>
                <w:color w:val="00B050"/>
              </w:rPr>
              <w:t>i</w:t>
            </w:r>
            <w:proofErr w:type="spellEnd"/>
            <w:r w:rsidRPr="000342D9">
              <w:rPr>
                <w:color w:val="00B050"/>
              </w:rPr>
              <w:t>), (j) and (k).</w:t>
            </w:r>
          </w:p>
        </w:tc>
        <w:tc>
          <w:tcPr>
            <w:tcW w:w="813" w:type="pct"/>
            <w:tcBorders>
              <w:top w:val="single" w:sz="4" w:space="0" w:color="auto"/>
              <w:left w:val="nil"/>
              <w:bottom w:val="single" w:sz="4" w:space="0" w:color="auto"/>
              <w:right w:val="single" w:sz="4" w:space="0" w:color="auto"/>
            </w:tcBorders>
            <w:shd w:val="clear" w:color="auto" w:fill="auto"/>
            <w:vAlign w:val="bottom"/>
          </w:tcPr>
          <w:p w14:paraId="2401ADA8" w14:textId="77777777" w:rsidR="00E92014" w:rsidRPr="00D56147" w:rsidRDefault="00E92014" w:rsidP="00D30326">
            <w:pPr>
              <w:jc w:val="both"/>
              <w:rPr>
                <w:b/>
                <w:bCs/>
              </w:rPr>
            </w:pPr>
          </w:p>
        </w:tc>
      </w:tr>
      <w:tr w:rsidR="00371051" w:rsidRPr="00D56147" w14:paraId="7D30A083"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37765C87" w14:textId="3B8F6A22" w:rsidR="004605BF" w:rsidRDefault="00371051" w:rsidP="000342D9">
            <w:pPr>
              <w:jc w:val="both"/>
              <w:rPr>
                <w:b/>
                <w:bCs/>
              </w:rPr>
            </w:pPr>
            <w:r>
              <w:rPr>
                <w:b/>
                <w:bCs/>
              </w:rPr>
              <w:t>8.64(b)</w:t>
            </w:r>
          </w:p>
        </w:tc>
        <w:tc>
          <w:tcPr>
            <w:tcW w:w="3630" w:type="pct"/>
            <w:tcBorders>
              <w:top w:val="single" w:sz="4" w:space="0" w:color="auto"/>
              <w:left w:val="nil"/>
              <w:bottom w:val="single" w:sz="4" w:space="0" w:color="auto"/>
              <w:right w:val="single" w:sz="4" w:space="0" w:color="auto"/>
            </w:tcBorders>
            <w:shd w:val="clear" w:color="auto" w:fill="auto"/>
            <w:vAlign w:val="bottom"/>
          </w:tcPr>
          <w:p w14:paraId="52C871AC" w14:textId="46FE8386" w:rsidR="00850AA2" w:rsidRPr="0090152E" w:rsidRDefault="004605BF" w:rsidP="000342D9">
            <w:pPr>
              <w:jc w:val="both"/>
              <w:rPr>
                <w:color w:val="00B050"/>
              </w:rPr>
            </w:pPr>
            <w:r>
              <w:rPr>
                <w:b/>
                <w:bCs/>
              </w:rPr>
              <w:t>T</w:t>
            </w:r>
            <w:r w:rsidR="00371051" w:rsidRPr="00371051">
              <w:rPr>
                <w:b/>
                <w:bCs/>
              </w:rPr>
              <w:t>he information regarding trading statements set out in paragraph 3.4(b)(vi);</w:t>
            </w:r>
          </w:p>
        </w:tc>
        <w:tc>
          <w:tcPr>
            <w:tcW w:w="813" w:type="pct"/>
            <w:tcBorders>
              <w:top w:val="single" w:sz="4" w:space="0" w:color="auto"/>
              <w:left w:val="nil"/>
              <w:bottom w:val="single" w:sz="4" w:space="0" w:color="auto"/>
              <w:right w:val="single" w:sz="4" w:space="0" w:color="auto"/>
            </w:tcBorders>
            <w:shd w:val="clear" w:color="auto" w:fill="auto"/>
            <w:vAlign w:val="bottom"/>
          </w:tcPr>
          <w:p w14:paraId="6EBDAA06" w14:textId="77777777" w:rsidR="00371051" w:rsidRPr="00D56147" w:rsidRDefault="00371051" w:rsidP="00D30326">
            <w:pPr>
              <w:jc w:val="both"/>
              <w:rPr>
                <w:b/>
                <w:bCs/>
              </w:rPr>
            </w:pPr>
          </w:p>
        </w:tc>
      </w:tr>
      <w:tr w:rsidR="00371051" w:rsidRPr="00D56147" w14:paraId="05847AEE"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636CF0CE" w14:textId="01C21A8F" w:rsidR="000342D9" w:rsidRDefault="00371051" w:rsidP="000342D9">
            <w:pPr>
              <w:jc w:val="both"/>
              <w:rPr>
                <w:b/>
                <w:bCs/>
              </w:rPr>
            </w:pPr>
            <w:r>
              <w:rPr>
                <w:b/>
                <w:bCs/>
              </w:rPr>
              <w:t>8.64(c</w:t>
            </w:r>
            <w:r w:rsidR="00FC7E89">
              <w:rPr>
                <w:b/>
                <w:bCs/>
              </w:rPr>
              <w:t>)</w:t>
            </w:r>
          </w:p>
          <w:p w14:paraId="050E26A7" w14:textId="77777777" w:rsidR="000342D9" w:rsidRDefault="000342D9" w:rsidP="000342D9">
            <w:pPr>
              <w:jc w:val="both"/>
              <w:rPr>
                <w:b/>
                <w:bCs/>
              </w:rPr>
            </w:pPr>
          </w:p>
          <w:p w14:paraId="56199EC6" w14:textId="77777777" w:rsidR="000342D9" w:rsidRDefault="000342D9" w:rsidP="000342D9">
            <w:pPr>
              <w:jc w:val="both"/>
              <w:rPr>
                <w:b/>
                <w:bCs/>
              </w:rPr>
            </w:pPr>
          </w:p>
          <w:p w14:paraId="4BD60735" w14:textId="6C7787B8" w:rsidR="000342D9" w:rsidRPr="00FC7E89" w:rsidRDefault="000342D9" w:rsidP="000342D9">
            <w:pPr>
              <w:jc w:val="both"/>
              <w:rPr>
                <w:rFonts w:cs="Times New Roman"/>
                <w:color w:val="00B050"/>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4EA86635" w14:textId="77777777" w:rsidR="000342D9" w:rsidRDefault="0090152E" w:rsidP="000342D9">
            <w:pPr>
              <w:jc w:val="both"/>
              <w:rPr>
                <w:rFonts w:cs="Times New Roman"/>
                <w:color w:val="00B050"/>
              </w:rPr>
            </w:pPr>
            <w:r>
              <w:rPr>
                <w:b/>
                <w:bCs/>
              </w:rPr>
              <w:lastRenderedPageBreak/>
              <w:t>T</w:t>
            </w:r>
            <w:r w:rsidR="00371051" w:rsidRPr="00371051">
              <w:rPr>
                <w:b/>
                <w:bCs/>
              </w:rPr>
              <w:t>he corporate governance information set out in paragraphs 3.84(a) to (j</w:t>
            </w:r>
            <w:proofErr w:type="gramStart"/>
            <w:r w:rsidR="00371051" w:rsidRPr="00371051">
              <w:rPr>
                <w:b/>
                <w:bCs/>
              </w:rPr>
              <w:t>);</w:t>
            </w:r>
            <w:proofErr w:type="gramEnd"/>
            <w:r w:rsidR="000342D9" w:rsidRPr="00EB3F09">
              <w:rPr>
                <w:rFonts w:cs="Times New Roman"/>
                <w:color w:val="00B050"/>
              </w:rPr>
              <w:t xml:space="preserve"> </w:t>
            </w:r>
          </w:p>
          <w:p w14:paraId="46B597FC" w14:textId="77777777" w:rsidR="00E4376E" w:rsidRDefault="00E4376E" w:rsidP="00E4376E">
            <w:pPr>
              <w:jc w:val="both"/>
              <w:rPr>
                <w:rFonts w:cs="Times New Roman"/>
                <w:color w:val="00B050"/>
              </w:rPr>
            </w:pPr>
            <w:r>
              <w:rPr>
                <w:color w:val="00B050"/>
              </w:rPr>
              <w:t>3.84(a) (</w:t>
            </w:r>
            <w:r w:rsidRPr="00052BFC">
              <w:rPr>
                <w:rFonts w:cs="Times New Roman"/>
                <w:color w:val="00B050"/>
              </w:rPr>
              <w:t>Exemption for SPAC see 4.39(a)</w:t>
            </w:r>
            <w:r>
              <w:rPr>
                <w:rFonts w:cs="Times New Roman"/>
                <w:color w:val="00B050"/>
              </w:rPr>
              <w:t>)</w:t>
            </w:r>
          </w:p>
          <w:p w14:paraId="3F947B75" w14:textId="77777777" w:rsidR="00E4376E" w:rsidRDefault="00E4376E" w:rsidP="00E4376E">
            <w:pPr>
              <w:jc w:val="both"/>
              <w:rPr>
                <w:rFonts w:cs="Times New Roman"/>
                <w:color w:val="00B050"/>
              </w:rPr>
            </w:pPr>
            <w:r w:rsidRPr="00FC7E89">
              <w:rPr>
                <w:rFonts w:cs="Times New Roman"/>
                <w:color w:val="00B050"/>
              </w:rPr>
              <w:t xml:space="preserve">3.84(b) </w:t>
            </w:r>
            <w:r>
              <w:rPr>
                <w:rFonts w:cs="Times New Roman"/>
                <w:color w:val="00B050"/>
              </w:rPr>
              <w:t>(</w:t>
            </w:r>
            <w:r w:rsidRPr="00FC7E89">
              <w:rPr>
                <w:rFonts w:cs="Times New Roman"/>
                <w:color w:val="00B050"/>
              </w:rPr>
              <w:t>Exemption for SPAC see 4.39(a)</w:t>
            </w:r>
            <w:r>
              <w:rPr>
                <w:rFonts w:cs="Times New Roman"/>
                <w:color w:val="00B050"/>
              </w:rPr>
              <w:t>)</w:t>
            </w:r>
          </w:p>
          <w:p w14:paraId="6CDF48FA" w14:textId="2B41435D" w:rsidR="007F5D5F" w:rsidRPr="007F5D5F" w:rsidRDefault="00127DBE" w:rsidP="00154A9D">
            <w:pPr>
              <w:jc w:val="both"/>
            </w:pPr>
            <w:r>
              <w:rPr>
                <w:rFonts w:cs="Times New Roman"/>
                <w:color w:val="00B050"/>
              </w:rPr>
              <w:lastRenderedPageBreak/>
              <w:t xml:space="preserve"> A</w:t>
            </w:r>
            <w:r w:rsidR="000342D9" w:rsidRPr="00EB3F09">
              <w:rPr>
                <w:rFonts w:cs="Times New Roman"/>
                <w:color w:val="00B050"/>
              </w:rPr>
              <w:t xml:space="preserve">pplies to </w:t>
            </w:r>
            <w:proofErr w:type="spellStart"/>
            <w:r w:rsidR="000342D9" w:rsidRPr="00EB3F09">
              <w:rPr>
                <w:rFonts w:cs="Times New Roman"/>
                <w:color w:val="00B050"/>
              </w:rPr>
              <w:t>AltX</w:t>
            </w:r>
            <w:proofErr w:type="spellEnd"/>
            <w:r w:rsidR="000342D9" w:rsidRPr="00EB3F09">
              <w:rPr>
                <w:rFonts w:cs="Times New Roman"/>
                <w:color w:val="00B050"/>
              </w:rPr>
              <w:t xml:space="preserve"> Issuers per 21.5(ii)</w:t>
            </w:r>
            <w:r w:rsidR="00E326A2">
              <w:rPr>
                <w:rFonts w:cs="Times New Roman"/>
                <w:color w:val="00B050"/>
              </w:rPr>
              <w:t>:</w:t>
            </w:r>
          </w:p>
        </w:tc>
        <w:tc>
          <w:tcPr>
            <w:tcW w:w="813" w:type="pct"/>
            <w:tcBorders>
              <w:top w:val="single" w:sz="4" w:space="0" w:color="auto"/>
              <w:left w:val="nil"/>
              <w:bottom w:val="single" w:sz="4" w:space="0" w:color="auto"/>
              <w:right w:val="single" w:sz="4" w:space="0" w:color="auto"/>
            </w:tcBorders>
            <w:shd w:val="clear" w:color="auto" w:fill="auto"/>
            <w:vAlign w:val="bottom"/>
          </w:tcPr>
          <w:p w14:paraId="4CFF9F06" w14:textId="77777777" w:rsidR="00371051" w:rsidRPr="00D56147" w:rsidRDefault="00371051" w:rsidP="00D30326">
            <w:pPr>
              <w:jc w:val="both"/>
              <w:rPr>
                <w:b/>
                <w:bCs/>
              </w:rPr>
            </w:pPr>
          </w:p>
        </w:tc>
      </w:tr>
      <w:tr w:rsidR="00371051" w:rsidRPr="00D56147" w14:paraId="0827279D"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762ADE49" w14:textId="77777777" w:rsidR="0090152E" w:rsidRDefault="00371051" w:rsidP="000342D9">
            <w:pPr>
              <w:jc w:val="both"/>
              <w:rPr>
                <w:b/>
                <w:bCs/>
              </w:rPr>
            </w:pPr>
            <w:r>
              <w:rPr>
                <w:b/>
                <w:bCs/>
              </w:rPr>
              <w:t>8.64(d)</w:t>
            </w:r>
          </w:p>
          <w:p w14:paraId="2C28A530" w14:textId="6797FB7C" w:rsidR="006B1D00" w:rsidRDefault="006B1D00" w:rsidP="000342D9">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2E55E919" w14:textId="3EE616F0" w:rsidR="0090152E" w:rsidRPr="00371051" w:rsidRDefault="0090152E" w:rsidP="000342D9">
            <w:pPr>
              <w:jc w:val="both"/>
              <w:rPr>
                <w:b/>
                <w:bCs/>
              </w:rPr>
            </w:pPr>
            <w:r>
              <w:rPr>
                <w:b/>
                <w:bCs/>
              </w:rPr>
              <w:t>A</w:t>
            </w:r>
            <w:r w:rsidR="00371051" w:rsidRPr="00371051">
              <w:rPr>
                <w:b/>
                <w:bCs/>
              </w:rPr>
              <w:t xml:space="preserve"> narrative on compliance with paragraph 7.F.6. dealing with compliance with the laws of establishment and the MOI of the issuer</w:t>
            </w:r>
            <w:r>
              <w:rPr>
                <w:b/>
                <w:bCs/>
              </w:rPr>
              <w:t>.</w:t>
            </w:r>
          </w:p>
        </w:tc>
        <w:tc>
          <w:tcPr>
            <w:tcW w:w="813" w:type="pct"/>
            <w:tcBorders>
              <w:top w:val="single" w:sz="4" w:space="0" w:color="auto"/>
              <w:left w:val="nil"/>
              <w:bottom w:val="single" w:sz="4" w:space="0" w:color="auto"/>
              <w:right w:val="single" w:sz="4" w:space="0" w:color="auto"/>
            </w:tcBorders>
            <w:shd w:val="clear" w:color="auto" w:fill="auto"/>
            <w:vAlign w:val="bottom"/>
          </w:tcPr>
          <w:p w14:paraId="30DC2293" w14:textId="77777777" w:rsidR="00371051" w:rsidRPr="00D56147" w:rsidRDefault="00371051" w:rsidP="00D30326">
            <w:pPr>
              <w:jc w:val="both"/>
              <w:rPr>
                <w:b/>
                <w:bCs/>
              </w:rPr>
            </w:pPr>
          </w:p>
        </w:tc>
      </w:tr>
      <w:tr w:rsidR="00371051" w:rsidRPr="00D56147" w14:paraId="009516D6"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482D9744" w14:textId="4E91600B" w:rsidR="00371051" w:rsidRDefault="00371051" w:rsidP="00D30326">
            <w:pPr>
              <w:jc w:val="both"/>
              <w:rPr>
                <w:b/>
                <w:bCs/>
              </w:rPr>
            </w:pPr>
            <w:r>
              <w:rPr>
                <w:b/>
                <w:bCs/>
              </w:rPr>
              <w:t>8.64(e)</w:t>
            </w:r>
          </w:p>
        </w:tc>
        <w:tc>
          <w:tcPr>
            <w:tcW w:w="3630" w:type="pct"/>
            <w:tcBorders>
              <w:top w:val="single" w:sz="4" w:space="0" w:color="auto"/>
              <w:left w:val="nil"/>
              <w:bottom w:val="single" w:sz="4" w:space="0" w:color="auto"/>
              <w:right w:val="single" w:sz="4" w:space="0" w:color="auto"/>
            </w:tcBorders>
            <w:shd w:val="clear" w:color="auto" w:fill="auto"/>
            <w:vAlign w:val="bottom"/>
          </w:tcPr>
          <w:p w14:paraId="1810F56E" w14:textId="1B05CF9F" w:rsidR="00371051" w:rsidRPr="00371051" w:rsidRDefault="0090152E" w:rsidP="00371051">
            <w:pPr>
              <w:jc w:val="both"/>
              <w:rPr>
                <w:b/>
                <w:bCs/>
              </w:rPr>
            </w:pPr>
            <w:r>
              <w:rPr>
                <w:b/>
                <w:bCs/>
              </w:rPr>
              <w:t>T</w:t>
            </w:r>
            <w:r w:rsidR="00371051" w:rsidRPr="00371051">
              <w:rPr>
                <w:b/>
                <w:bCs/>
              </w:rPr>
              <w:t>he disclosure of material risks as described in paragraph 7.F.7, which may be incorporated via a weblink.</w:t>
            </w:r>
          </w:p>
        </w:tc>
        <w:tc>
          <w:tcPr>
            <w:tcW w:w="813" w:type="pct"/>
            <w:tcBorders>
              <w:top w:val="single" w:sz="4" w:space="0" w:color="auto"/>
              <w:left w:val="nil"/>
              <w:bottom w:val="single" w:sz="4" w:space="0" w:color="auto"/>
              <w:right w:val="single" w:sz="4" w:space="0" w:color="auto"/>
            </w:tcBorders>
            <w:shd w:val="clear" w:color="auto" w:fill="auto"/>
            <w:vAlign w:val="bottom"/>
          </w:tcPr>
          <w:p w14:paraId="5DA43BC0" w14:textId="77777777" w:rsidR="00371051" w:rsidRPr="00D56147" w:rsidRDefault="00371051" w:rsidP="00D30326">
            <w:pPr>
              <w:jc w:val="both"/>
              <w:rPr>
                <w:b/>
                <w:bCs/>
              </w:rPr>
            </w:pPr>
          </w:p>
        </w:tc>
      </w:tr>
      <w:tr w:rsidR="00371051" w:rsidRPr="00D56147" w14:paraId="34153AE4"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4FDF6096" w14:textId="77777777" w:rsidR="00052BFC" w:rsidRDefault="00371051" w:rsidP="00052BFC">
            <w:pPr>
              <w:jc w:val="both"/>
              <w:rPr>
                <w:b/>
                <w:bCs/>
              </w:rPr>
            </w:pPr>
            <w:r w:rsidRPr="00371051">
              <w:rPr>
                <w:b/>
                <w:bCs/>
              </w:rPr>
              <w:t>8.64(f)</w:t>
            </w:r>
          </w:p>
          <w:p w14:paraId="73CC4804" w14:textId="77777777" w:rsidR="00052BFC" w:rsidRDefault="00052BFC" w:rsidP="00052BFC">
            <w:pPr>
              <w:jc w:val="both"/>
              <w:rPr>
                <w:b/>
                <w:bCs/>
              </w:rPr>
            </w:pPr>
          </w:p>
          <w:p w14:paraId="388A6A5D" w14:textId="7B417051" w:rsidR="00052BFC" w:rsidRPr="00371051" w:rsidRDefault="00052BFC" w:rsidP="00052BFC">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43A98DE5" w14:textId="794EEA0E" w:rsidR="00371051" w:rsidRPr="00371051" w:rsidRDefault="0090152E" w:rsidP="00371051">
            <w:pPr>
              <w:jc w:val="both"/>
              <w:rPr>
                <w:b/>
                <w:bCs/>
              </w:rPr>
            </w:pPr>
            <w:r>
              <w:rPr>
                <w:b/>
                <w:bCs/>
              </w:rPr>
              <w:t>P</w:t>
            </w:r>
            <w:r w:rsidR="00371051" w:rsidRPr="00371051">
              <w:rPr>
                <w:b/>
                <w:bCs/>
              </w:rPr>
              <w:t>rofit forecasts:</w:t>
            </w:r>
          </w:p>
          <w:p w14:paraId="311F494D" w14:textId="414482C5" w:rsidR="00052BFC" w:rsidRPr="00B9305F" w:rsidRDefault="00371051" w:rsidP="00052BFC">
            <w:pPr>
              <w:jc w:val="both"/>
            </w:pPr>
            <w:r w:rsidRPr="00B9305F">
              <w:t>if the results for the period differ by 10% or more from any forecast or estimate previously published by the issuer for its own results or in the case of a property entity results published in terms of paragraph 13.12, an explanation of the difference must be provided</w:t>
            </w:r>
            <w:r w:rsidR="0090152E">
              <w:t>.</w:t>
            </w:r>
          </w:p>
        </w:tc>
        <w:tc>
          <w:tcPr>
            <w:tcW w:w="813" w:type="pct"/>
            <w:tcBorders>
              <w:top w:val="single" w:sz="4" w:space="0" w:color="auto"/>
              <w:left w:val="nil"/>
              <w:bottom w:val="single" w:sz="4" w:space="0" w:color="auto"/>
              <w:right w:val="single" w:sz="4" w:space="0" w:color="auto"/>
            </w:tcBorders>
            <w:shd w:val="clear" w:color="auto" w:fill="auto"/>
            <w:vAlign w:val="bottom"/>
          </w:tcPr>
          <w:p w14:paraId="184BEECF" w14:textId="77777777" w:rsidR="00371051" w:rsidRPr="00D56147" w:rsidRDefault="00371051" w:rsidP="00D30326">
            <w:pPr>
              <w:jc w:val="both"/>
              <w:rPr>
                <w:b/>
                <w:bCs/>
              </w:rPr>
            </w:pPr>
          </w:p>
        </w:tc>
      </w:tr>
      <w:tr w:rsidR="00371051" w:rsidRPr="00D56147" w14:paraId="309E409C"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4B797E37" w14:textId="3CD21045" w:rsidR="00371051" w:rsidRDefault="00371051" w:rsidP="00D30326">
            <w:pPr>
              <w:jc w:val="both"/>
              <w:rPr>
                <w:b/>
                <w:bCs/>
              </w:rPr>
            </w:pPr>
            <w:r w:rsidRPr="00371051">
              <w:rPr>
                <w:b/>
                <w:bCs/>
              </w:rPr>
              <w:t>8.64(g)</w:t>
            </w:r>
          </w:p>
          <w:p w14:paraId="5A82B5EB" w14:textId="77777777" w:rsidR="0090152E" w:rsidRDefault="0090152E" w:rsidP="00D30326">
            <w:pPr>
              <w:jc w:val="both"/>
              <w:rPr>
                <w:b/>
                <w:bCs/>
              </w:rPr>
            </w:pPr>
          </w:p>
          <w:p w14:paraId="39973030" w14:textId="77777777" w:rsidR="0090152E" w:rsidRDefault="0090152E" w:rsidP="00D30326">
            <w:pPr>
              <w:jc w:val="both"/>
              <w:rPr>
                <w:b/>
                <w:bCs/>
              </w:rPr>
            </w:pPr>
          </w:p>
          <w:p w14:paraId="213E6BDA" w14:textId="0D4EE3B3" w:rsidR="00371051" w:rsidRPr="00371051" w:rsidRDefault="00371051" w:rsidP="00D30326">
            <w:pPr>
              <w:jc w:val="both"/>
              <w:rPr>
                <w:b/>
                <w:bCs/>
              </w:rPr>
            </w:pPr>
          </w:p>
        </w:tc>
        <w:tc>
          <w:tcPr>
            <w:tcW w:w="3630" w:type="pct"/>
            <w:tcBorders>
              <w:top w:val="single" w:sz="4" w:space="0" w:color="auto"/>
              <w:left w:val="nil"/>
              <w:bottom w:val="single" w:sz="4" w:space="0" w:color="auto"/>
              <w:right w:val="single" w:sz="4" w:space="0" w:color="auto"/>
            </w:tcBorders>
            <w:shd w:val="clear" w:color="auto" w:fill="auto"/>
            <w:vAlign w:val="bottom"/>
          </w:tcPr>
          <w:p w14:paraId="169E0E5F" w14:textId="1514144F" w:rsidR="00371051" w:rsidRPr="00371051" w:rsidRDefault="00371051" w:rsidP="00371051">
            <w:pPr>
              <w:jc w:val="both"/>
              <w:rPr>
                <w:b/>
                <w:bCs/>
              </w:rPr>
            </w:pPr>
            <w:r w:rsidRPr="00371051">
              <w:rPr>
                <w:b/>
                <w:bCs/>
              </w:rPr>
              <w:t>Mineral Resources and Mineral Reserves:</w:t>
            </w:r>
          </w:p>
          <w:p w14:paraId="630ECEBD" w14:textId="5EB8E22A" w:rsidR="00371051" w:rsidRDefault="00371051" w:rsidP="00052BFC">
            <w:pPr>
              <w:jc w:val="both"/>
            </w:pPr>
            <w:r w:rsidRPr="00B9305F">
              <w:t xml:space="preserve">the information set out in paragraph </w:t>
            </w:r>
            <w:r w:rsidR="00E8192B" w:rsidRPr="00B9305F">
              <w:t>12.13.</w:t>
            </w:r>
          </w:p>
          <w:p w14:paraId="72BC44C9" w14:textId="6C1685CD" w:rsidR="007D4820" w:rsidRPr="007D4820" w:rsidRDefault="007D4820" w:rsidP="00052BFC">
            <w:pPr>
              <w:jc w:val="both"/>
              <w:rPr>
                <w:iCs/>
              </w:rPr>
            </w:pPr>
            <w:r w:rsidRPr="007D4820">
              <w:rPr>
                <w:rFonts w:cs="Times New Roman"/>
                <w:iCs/>
                <w:color w:val="00B050"/>
              </w:rPr>
              <w:t>NB. Please note that this is a separate written submission which must be submitted by the Issuer confirming compliance</w:t>
            </w:r>
            <w:r>
              <w:rPr>
                <w:rFonts w:cs="Times New Roman"/>
                <w:iCs/>
                <w:color w:val="00B050"/>
              </w:rPr>
              <w:t>.</w:t>
            </w:r>
          </w:p>
        </w:tc>
        <w:tc>
          <w:tcPr>
            <w:tcW w:w="813" w:type="pct"/>
            <w:tcBorders>
              <w:top w:val="single" w:sz="4" w:space="0" w:color="auto"/>
              <w:left w:val="nil"/>
              <w:bottom w:val="single" w:sz="4" w:space="0" w:color="auto"/>
              <w:right w:val="single" w:sz="4" w:space="0" w:color="auto"/>
            </w:tcBorders>
            <w:shd w:val="clear" w:color="auto" w:fill="auto"/>
            <w:vAlign w:val="bottom"/>
          </w:tcPr>
          <w:p w14:paraId="3BA7D4DF" w14:textId="77777777" w:rsidR="00371051" w:rsidRPr="00D56147" w:rsidRDefault="00371051" w:rsidP="00D30326">
            <w:pPr>
              <w:jc w:val="both"/>
              <w:rPr>
                <w:b/>
                <w:bCs/>
              </w:rPr>
            </w:pPr>
          </w:p>
        </w:tc>
      </w:tr>
      <w:tr w:rsidR="00136EE6" w:rsidRPr="00D56147" w14:paraId="1F0EA45A"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4949DD2A" w14:textId="0843CB73" w:rsidR="00371051" w:rsidRPr="00371051" w:rsidRDefault="00371051" w:rsidP="000342D9">
            <w:pPr>
              <w:jc w:val="both"/>
              <w:rPr>
                <w:b/>
                <w:bCs/>
              </w:rPr>
            </w:pPr>
            <w:r w:rsidRPr="00371051">
              <w:rPr>
                <w:b/>
                <w:bCs/>
              </w:rPr>
              <w:t>8.64(h)</w:t>
            </w:r>
          </w:p>
        </w:tc>
        <w:tc>
          <w:tcPr>
            <w:tcW w:w="3630" w:type="pct"/>
            <w:tcBorders>
              <w:top w:val="single" w:sz="4" w:space="0" w:color="auto"/>
              <w:left w:val="nil"/>
              <w:bottom w:val="single" w:sz="4" w:space="0" w:color="auto"/>
              <w:right w:val="single" w:sz="4" w:space="0" w:color="auto"/>
            </w:tcBorders>
            <w:shd w:val="clear" w:color="auto" w:fill="auto"/>
            <w:vAlign w:val="bottom"/>
          </w:tcPr>
          <w:p w14:paraId="31B675BE" w14:textId="404D726F" w:rsidR="00B9305F" w:rsidRPr="000342D9" w:rsidRDefault="0090152E" w:rsidP="000342D9">
            <w:pPr>
              <w:jc w:val="both"/>
              <w:rPr>
                <w:b/>
                <w:bCs/>
              </w:rPr>
            </w:pPr>
            <w:r>
              <w:rPr>
                <w:b/>
                <w:bCs/>
              </w:rPr>
              <w:t>F</w:t>
            </w:r>
            <w:r w:rsidR="00136EE6" w:rsidRPr="00371051">
              <w:rPr>
                <w:b/>
                <w:bCs/>
              </w:rPr>
              <w:t>or a property entity, the disclosure referred to in paragraphs 13.39 and 13.46(h)(ii); and</w:t>
            </w:r>
          </w:p>
        </w:tc>
        <w:tc>
          <w:tcPr>
            <w:tcW w:w="813" w:type="pct"/>
            <w:tcBorders>
              <w:top w:val="single" w:sz="4" w:space="0" w:color="auto"/>
              <w:left w:val="nil"/>
              <w:bottom w:val="single" w:sz="4" w:space="0" w:color="auto"/>
              <w:right w:val="single" w:sz="4" w:space="0" w:color="auto"/>
            </w:tcBorders>
            <w:shd w:val="clear" w:color="auto" w:fill="auto"/>
            <w:vAlign w:val="bottom"/>
          </w:tcPr>
          <w:p w14:paraId="3FCFB990" w14:textId="77777777" w:rsidR="00136EE6" w:rsidRPr="00D56147" w:rsidRDefault="00136EE6" w:rsidP="00D30326">
            <w:pPr>
              <w:jc w:val="both"/>
              <w:rPr>
                <w:b/>
                <w:bCs/>
              </w:rPr>
            </w:pPr>
          </w:p>
        </w:tc>
      </w:tr>
      <w:tr w:rsidR="00052BFC" w:rsidRPr="00D56147" w14:paraId="243376F6" w14:textId="77777777" w:rsidTr="002E5E44">
        <w:trPr>
          <w:trHeight w:val="510"/>
        </w:trPr>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14:paraId="349AB9CB" w14:textId="6C35587C" w:rsidR="00052BFC" w:rsidRPr="00371051" w:rsidRDefault="00052BFC" w:rsidP="00D30326">
            <w:pPr>
              <w:jc w:val="both"/>
              <w:rPr>
                <w:b/>
                <w:bCs/>
              </w:rPr>
            </w:pPr>
            <w:r>
              <w:rPr>
                <w:b/>
                <w:bCs/>
              </w:rPr>
              <w:t>8.64(</w:t>
            </w:r>
            <w:proofErr w:type="spellStart"/>
            <w:r>
              <w:rPr>
                <w:b/>
                <w:bCs/>
              </w:rPr>
              <w:t>i</w:t>
            </w:r>
            <w:proofErr w:type="spellEnd"/>
            <w:r>
              <w:rPr>
                <w:b/>
                <w:bCs/>
              </w:rPr>
              <w:t>)</w:t>
            </w:r>
          </w:p>
        </w:tc>
        <w:tc>
          <w:tcPr>
            <w:tcW w:w="3630" w:type="pct"/>
            <w:tcBorders>
              <w:top w:val="single" w:sz="4" w:space="0" w:color="auto"/>
              <w:left w:val="nil"/>
              <w:bottom w:val="single" w:sz="4" w:space="0" w:color="auto"/>
              <w:right w:val="single" w:sz="4" w:space="0" w:color="auto"/>
            </w:tcBorders>
            <w:shd w:val="clear" w:color="auto" w:fill="auto"/>
            <w:vAlign w:val="bottom"/>
          </w:tcPr>
          <w:p w14:paraId="2ED65D97" w14:textId="23702ABB" w:rsidR="00052BFC" w:rsidRPr="00371051" w:rsidRDefault="000F2870" w:rsidP="00136EE6">
            <w:pPr>
              <w:jc w:val="both"/>
              <w:rPr>
                <w:b/>
                <w:bCs/>
              </w:rPr>
            </w:pPr>
            <w:r>
              <w:rPr>
                <w:b/>
                <w:bCs/>
              </w:rPr>
              <w:t>T</w:t>
            </w:r>
            <w:r w:rsidR="00052BFC" w:rsidRPr="00371051">
              <w:rPr>
                <w:b/>
                <w:bCs/>
              </w:rPr>
              <w:t>he separate financial statements of the listed company for a South African company.</w:t>
            </w:r>
          </w:p>
        </w:tc>
        <w:tc>
          <w:tcPr>
            <w:tcW w:w="813" w:type="pct"/>
            <w:tcBorders>
              <w:top w:val="single" w:sz="4" w:space="0" w:color="auto"/>
              <w:left w:val="nil"/>
              <w:bottom w:val="single" w:sz="4" w:space="0" w:color="auto"/>
              <w:right w:val="single" w:sz="4" w:space="0" w:color="auto"/>
            </w:tcBorders>
            <w:shd w:val="clear" w:color="auto" w:fill="auto"/>
            <w:vAlign w:val="bottom"/>
          </w:tcPr>
          <w:p w14:paraId="70D13036" w14:textId="77777777" w:rsidR="00052BFC" w:rsidRPr="00D56147" w:rsidRDefault="00052BFC" w:rsidP="00D30326">
            <w:pPr>
              <w:jc w:val="both"/>
              <w:rPr>
                <w:b/>
                <w:bCs/>
              </w:rPr>
            </w:pPr>
          </w:p>
        </w:tc>
      </w:tr>
      <w:tr w:rsidR="00B76EBB" w:rsidRPr="00D56147" w14:paraId="164BD699" w14:textId="77777777" w:rsidTr="002E5E44">
        <w:trPr>
          <w:trHeight w:val="255"/>
        </w:trPr>
        <w:tc>
          <w:tcPr>
            <w:tcW w:w="557" w:type="pct"/>
            <w:tcBorders>
              <w:top w:val="nil"/>
              <w:left w:val="single" w:sz="4" w:space="0" w:color="auto"/>
              <w:bottom w:val="single" w:sz="4" w:space="0" w:color="auto"/>
              <w:right w:val="single" w:sz="4" w:space="0" w:color="auto"/>
            </w:tcBorders>
            <w:shd w:val="clear" w:color="auto" w:fill="auto"/>
            <w:vAlign w:val="bottom"/>
          </w:tcPr>
          <w:p w14:paraId="009E0CB6" w14:textId="4A5A56A4" w:rsidR="000F2870" w:rsidRDefault="00B76EBB" w:rsidP="00D30326">
            <w:pPr>
              <w:jc w:val="both"/>
              <w:rPr>
                <w:color w:val="00B050"/>
              </w:rPr>
            </w:pPr>
            <w:r w:rsidRPr="00052BFC">
              <w:rPr>
                <w:color w:val="00B050"/>
              </w:rPr>
              <w:t>1.</w:t>
            </w:r>
            <w:r w:rsidR="0029765A" w:rsidRPr="00052BFC">
              <w:rPr>
                <w:color w:val="00B050"/>
              </w:rPr>
              <w:t>20</w:t>
            </w:r>
          </w:p>
          <w:p w14:paraId="1C6EC95C" w14:textId="77777777" w:rsidR="00154A9D" w:rsidRDefault="00154A9D" w:rsidP="00D30326">
            <w:pPr>
              <w:jc w:val="both"/>
              <w:rPr>
                <w:color w:val="00B050"/>
              </w:rPr>
            </w:pPr>
          </w:p>
          <w:p w14:paraId="797FA4BA" w14:textId="77777777" w:rsidR="00154A9D" w:rsidRPr="00052BFC" w:rsidRDefault="00154A9D" w:rsidP="00D30326">
            <w:pPr>
              <w:jc w:val="both"/>
              <w:rPr>
                <w:color w:val="00B050"/>
              </w:rPr>
            </w:pPr>
          </w:p>
          <w:p w14:paraId="5E71AED8" w14:textId="77777777" w:rsidR="00052BFC" w:rsidRDefault="00052BFC" w:rsidP="00D30326">
            <w:pPr>
              <w:jc w:val="both"/>
              <w:rPr>
                <w:color w:val="00B050"/>
              </w:rPr>
            </w:pPr>
          </w:p>
          <w:p w14:paraId="1CC8E543" w14:textId="77777777" w:rsidR="005F5E19" w:rsidRDefault="005F5E19" w:rsidP="00D30326">
            <w:pPr>
              <w:jc w:val="both"/>
              <w:rPr>
                <w:color w:val="00B050"/>
              </w:rPr>
            </w:pPr>
          </w:p>
          <w:p w14:paraId="19ED46B8" w14:textId="77777777" w:rsidR="005F5E19" w:rsidRDefault="005F5E19" w:rsidP="00D30326">
            <w:pPr>
              <w:jc w:val="both"/>
              <w:rPr>
                <w:color w:val="00B050"/>
              </w:rPr>
            </w:pPr>
          </w:p>
          <w:p w14:paraId="15730CC2" w14:textId="52C8B55C" w:rsidR="005F5E19" w:rsidRPr="00052BFC" w:rsidRDefault="005F5E19" w:rsidP="00D30326">
            <w:pPr>
              <w:jc w:val="both"/>
              <w:rPr>
                <w:color w:val="00B050"/>
              </w:rPr>
            </w:pPr>
          </w:p>
        </w:tc>
        <w:tc>
          <w:tcPr>
            <w:tcW w:w="3630" w:type="pct"/>
            <w:tcBorders>
              <w:top w:val="nil"/>
              <w:left w:val="nil"/>
              <w:bottom w:val="single" w:sz="4" w:space="0" w:color="auto"/>
              <w:right w:val="single" w:sz="4" w:space="0" w:color="auto"/>
            </w:tcBorders>
            <w:shd w:val="clear" w:color="auto" w:fill="auto"/>
            <w:vAlign w:val="bottom"/>
          </w:tcPr>
          <w:p w14:paraId="79BD3475" w14:textId="77777777" w:rsidR="00001121" w:rsidRPr="00052BFC" w:rsidRDefault="00001121" w:rsidP="00D30326">
            <w:pPr>
              <w:jc w:val="both"/>
              <w:rPr>
                <w:b/>
                <w:color w:val="00B050"/>
                <w:u w:val="single"/>
              </w:rPr>
            </w:pPr>
            <w:r w:rsidRPr="00052BFC">
              <w:rPr>
                <w:b/>
                <w:color w:val="00B050"/>
                <w:u w:val="single"/>
              </w:rPr>
              <w:t>Annual Revision of List</w:t>
            </w:r>
          </w:p>
          <w:p w14:paraId="6C4E2D5F" w14:textId="09040227" w:rsidR="00F40209" w:rsidRDefault="00001121" w:rsidP="00052BFC">
            <w:pPr>
              <w:jc w:val="both"/>
              <w:rPr>
                <w:color w:val="00B050"/>
              </w:rPr>
            </w:pPr>
            <w:r w:rsidRPr="00052BFC">
              <w:rPr>
                <w:color w:val="00B050"/>
              </w:rPr>
              <w:t xml:space="preserve">Schedule 2 </w:t>
            </w:r>
            <w:r w:rsidR="00954366" w:rsidRPr="00052BFC">
              <w:rPr>
                <w:rFonts w:cs="Times New Roman"/>
                <w:color w:val="00B050"/>
              </w:rPr>
              <w:t>Form D</w:t>
            </w:r>
            <w:r w:rsidR="005A2938" w:rsidRPr="00052BFC">
              <w:rPr>
                <w:rFonts w:cs="Times New Roman"/>
                <w:color w:val="00B050"/>
              </w:rPr>
              <w:t>1</w:t>
            </w:r>
            <w:r w:rsidR="00B76EBB" w:rsidRPr="00052BFC">
              <w:rPr>
                <w:color w:val="00B050"/>
              </w:rPr>
              <w:t xml:space="preserve"> declaration</w:t>
            </w:r>
          </w:p>
          <w:p w14:paraId="6FEF895D" w14:textId="72A820DC" w:rsidR="00A95B57" w:rsidRDefault="00F40209" w:rsidP="00052BFC">
            <w:pPr>
              <w:jc w:val="both"/>
              <w:rPr>
                <w:color w:val="00B050"/>
              </w:rPr>
            </w:pPr>
            <w:r>
              <w:rPr>
                <w:color w:val="00B050"/>
              </w:rPr>
              <w:t>Please include details of</w:t>
            </w:r>
            <w:r w:rsidR="00006007">
              <w:rPr>
                <w:color w:val="00B050"/>
              </w:rPr>
              <w:t xml:space="preserve"> matters of</w:t>
            </w:r>
            <w:r w:rsidR="00B76EBB" w:rsidRPr="00052BFC">
              <w:rPr>
                <w:color w:val="00B050"/>
              </w:rPr>
              <w:t xml:space="preserve"> non-compliances during the review period</w:t>
            </w:r>
            <w:r w:rsidR="000562D2" w:rsidRPr="00052BFC">
              <w:rPr>
                <w:color w:val="00B050"/>
              </w:rPr>
              <w:t>.</w:t>
            </w:r>
          </w:p>
          <w:p w14:paraId="58745DE7" w14:textId="77777777" w:rsidR="000F2870" w:rsidRDefault="000F2870" w:rsidP="00052BFC">
            <w:pPr>
              <w:jc w:val="both"/>
              <w:rPr>
                <w:color w:val="00B050"/>
              </w:rPr>
            </w:pPr>
          </w:p>
          <w:p w14:paraId="07FB5F53" w14:textId="0DC11BFD" w:rsidR="005F5E19" w:rsidRPr="00052BFC" w:rsidRDefault="000F2870" w:rsidP="005F5E19">
            <w:pPr>
              <w:jc w:val="both"/>
              <w:rPr>
                <w:b/>
                <w:color w:val="00B050"/>
                <w:u w:val="single"/>
              </w:rPr>
            </w:pPr>
            <w:r w:rsidRPr="00052BFC">
              <w:rPr>
                <w:b/>
                <w:color w:val="00B050"/>
                <w:u w:val="single"/>
              </w:rPr>
              <w:t>REIT and</w:t>
            </w:r>
            <w:r w:rsidR="005F5E19" w:rsidRPr="00052BFC">
              <w:rPr>
                <w:b/>
                <w:color w:val="00B050"/>
                <w:u w:val="single"/>
              </w:rPr>
              <w:t xml:space="preserve"> CISIP’s compliance declarations</w:t>
            </w:r>
          </w:p>
          <w:p w14:paraId="51849A0A" w14:textId="77777777" w:rsidR="005F5E19" w:rsidRPr="00052BFC" w:rsidRDefault="005F5E19" w:rsidP="005F5E19">
            <w:pPr>
              <w:numPr>
                <w:ilvl w:val="0"/>
                <w:numId w:val="18"/>
              </w:numPr>
              <w:jc w:val="both"/>
              <w:rPr>
                <w:color w:val="00B050"/>
              </w:rPr>
            </w:pPr>
            <w:r w:rsidRPr="00052BFC">
              <w:rPr>
                <w:color w:val="00B050"/>
              </w:rPr>
              <w:t xml:space="preserve">For REIT approved issuers, please note that in addition to Schedule 2 </w:t>
            </w:r>
            <w:r w:rsidRPr="00052BFC">
              <w:rPr>
                <w:rFonts w:cs="Times New Roman"/>
                <w:color w:val="00B050"/>
              </w:rPr>
              <w:t>Form D1,</w:t>
            </w:r>
            <w:r w:rsidRPr="00052BFC">
              <w:rPr>
                <w:color w:val="00B050"/>
              </w:rPr>
              <w:t xml:space="preserve"> a REIT Compliance declaration must be submitted pursuant to provision 13.49(d) within (four</w:t>
            </w:r>
            <w:r w:rsidRPr="00052BFC">
              <w:rPr>
                <w:color w:val="00B050"/>
                <w:sz w:val="18"/>
                <w:szCs w:val="18"/>
              </w:rPr>
              <w:t>)</w:t>
            </w:r>
            <w:r w:rsidRPr="00052BFC">
              <w:rPr>
                <w:color w:val="00B050"/>
              </w:rPr>
              <w:t xml:space="preserve"> months of financial year end; and</w:t>
            </w:r>
          </w:p>
          <w:p w14:paraId="085C68F0" w14:textId="339E1637" w:rsidR="005F5E19" w:rsidRPr="00052BFC" w:rsidRDefault="005F5E19" w:rsidP="005F5E19">
            <w:pPr>
              <w:pStyle w:val="ListParagraph"/>
              <w:numPr>
                <w:ilvl w:val="0"/>
                <w:numId w:val="18"/>
              </w:numPr>
              <w:jc w:val="both"/>
              <w:rPr>
                <w:color w:val="00B050"/>
              </w:rPr>
            </w:pPr>
            <w:r w:rsidRPr="005F5E19">
              <w:rPr>
                <w:color w:val="00B050"/>
              </w:rPr>
              <w:lastRenderedPageBreak/>
              <w:t xml:space="preserve">For CISIP’s a compliance declaration pursuant to paragraph </w:t>
            </w:r>
            <w:r w:rsidRPr="005F5E19">
              <w:rPr>
                <w:rFonts w:cs="Times New Roman"/>
                <w:color w:val="00B050"/>
              </w:rPr>
              <w:t>13.56</w:t>
            </w:r>
            <w:r w:rsidRPr="005F5E19">
              <w:rPr>
                <w:color w:val="00B050"/>
              </w:rPr>
              <w:t xml:space="preserve"> must be submitted within (four) months of the issuer’s financial year end.</w:t>
            </w:r>
          </w:p>
        </w:tc>
        <w:tc>
          <w:tcPr>
            <w:tcW w:w="813" w:type="pct"/>
            <w:tcBorders>
              <w:top w:val="nil"/>
              <w:left w:val="nil"/>
              <w:bottom w:val="single" w:sz="4" w:space="0" w:color="auto"/>
              <w:right w:val="single" w:sz="4" w:space="0" w:color="auto"/>
            </w:tcBorders>
            <w:shd w:val="clear" w:color="auto" w:fill="auto"/>
            <w:vAlign w:val="bottom"/>
          </w:tcPr>
          <w:p w14:paraId="5C3271FD" w14:textId="7D9077C0" w:rsidR="00B76EBB" w:rsidRPr="00D56147" w:rsidRDefault="00B76EBB" w:rsidP="00E10F52">
            <w:pPr>
              <w:jc w:val="both"/>
            </w:pPr>
          </w:p>
        </w:tc>
      </w:tr>
      <w:tr w:rsidR="000F2870" w:rsidRPr="00D56147" w14:paraId="5BD73288" w14:textId="77777777" w:rsidTr="002E5E44">
        <w:trPr>
          <w:trHeight w:val="255"/>
        </w:trPr>
        <w:tc>
          <w:tcPr>
            <w:tcW w:w="557" w:type="pct"/>
            <w:tcBorders>
              <w:top w:val="nil"/>
              <w:left w:val="single" w:sz="4" w:space="0" w:color="auto"/>
              <w:bottom w:val="single" w:sz="4" w:space="0" w:color="auto"/>
              <w:right w:val="single" w:sz="4" w:space="0" w:color="auto"/>
            </w:tcBorders>
            <w:shd w:val="clear" w:color="auto" w:fill="auto"/>
            <w:vAlign w:val="bottom"/>
          </w:tcPr>
          <w:p w14:paraId="22E70F8A" w14:textId="77777777" w:rsidR="000F2870" w:rsidRPr="00FC5B83" w:rsidRDefault="000F2870" w:rsidP="00A146EC">
            <w:pPr>
              <w:jc w:val="both"/>
              <w:rPr>
                <w:color w:val="00B050"/>
              </w:rPr>
            </w:pPr>
            <w:r w:rsidRPr="00FC5B83">
              <w:rPr>
                <w:color w:val="00B050"/>
              </w:rPr>
              <w:t>16.21(g)</w:t>
            </w:r>
          </w:p>
          <w:p w14:paraId="3F7F2209" w14:textId="77777777" w:rsidR="000F2870" w:rsidRDefault="000F2870" w:rsidP="000342D9">
            <w:pPr>
              <w:jc w:val="both"/>
              <w:rPr>
                <w:color w:val="00B050"/>
              </w:rPr>
            </w:pPr>
            <w:r w:rsidRPr="00FC5B83">
              <w:rPr>
                <w:color w:val="00B050"/>
              </w:rPr>
              <w:t>Appendix 1 to section 11</w:t>
            </w:r>
          </w:p>
          <w:p w14:paraId="3EAACC0E" w14:textId="02504593" w:rsidR="00CD1675" w:rsidRPr="00FC5B83" w:rsidRDefault="00CD1675" w:rsidP="000342D9">
            <w:pPr>
              <w:jc w:val="both"/>
              <w:rPr>
                <w:color w:val="00B050"/>
              </w:rPr>
            </w:pPr>
          </w:p>
        </w:tc>
        <w:tc>
          <w:tcPr>
            <w:tcW w:w="3630" w:type="pct"/>
            <w:tcBorders>
              <w:top w:val="nil"/>
              <w:left w:val="nil"/>
              <w:bottom w:val="single" w:sz="4" w:space="0" w:color="auto"/>
              <w:right w:val="single" w:sz="4" w:space="0" w:color="auto"/>
            </w:tcBorders>
            <w:shd w:val="clear" w:color="auto" w:fill="auto"/>
            <w:vAlign w:val="bottom"/>
          </w:tcPr>
          <w:p w14:paraId="3963015D" w14:textId="4B41FC2F" w:rsidR="000F2870" w:rsidRPr="00FC5B83" w:rsidRDefault="000F2870" w:rsidP="00A146EC">
            <w:pPr>
              <w:jc w:val="both"/>
              <w:rPr>
                <w:b/>
                <w:color w:val="00B050"/>
                <w:u w:val="single"/>
              </w:rPr>
            </w:pPr>
            <w:r w:rsidRPr="00FC5B83">
              <w:rPr>
                <w:b/>
                <w:color w:val="00B050"/>
                <w:u w:val="single"/>
              </w:rPr>
              <w:t>Periodical returns: Electronic submission</w:t>
            </w:r>
          </w:p>
          <w:p w14:paraId="50F96471" w14:textId="37019D85" w:rsidR="009C140B" w:rsidRDefault="000F2870" w:rsidP="00A146EC">
            <w:pPr>
              <w:jc w:val="both"/>
              <w:rPr>
                <w:color w:val="00B050"/>
              </w:rPr>
            </w:pPr>
            <w:r w:rsidRPr="00FC5B83">
              <w:rPr>
                <w:color w:val="00B050"/>
              </w:rPr>
              <w:t>Issuer’s must submit to the JSE, the annual compliance report prepared pursuant to section 13</w:t>
            </w:r>
            <w:r w:rsidR="00E8192B" w:rsidRPr="00FC5B83">
              <w:rPr>
                <w:color w:val="00B050"/>
              </w:rPr>
              <w:t>G (</w:t>
            </w:r>
            <w:r w:rsidRPr="00FC5B83">
              <w:rPr>
                <w:color w:val="00B050"/>
              </w:rPr>
              <w:t>2) of the BEE Act, unless an exemption can be provided to the JSE</w:t>
            </w:r>
            <w:r w:rsidR="009C140B">
              <w:rPr>
                <w:color w:val="00B050"/>
              </w:rPr>
              <w:t>.</w:t>
            </w:r>
          </w:p>
          <w:p w14:paraId="2306516C" w14:textId="215F4398" w:rsidR="000F2870" w:rsidRPr="00FC5B83" w:rsidRDefault="00C14772" w:rsidP="000342D9">
            <w:pPr>
              <w:jc w:val="both"/>
              <w:rPr>
                <w:color w:val="00B050"/>
              </w:rPr>
            </w:pPr>
            <w:r>
              <w:rPr>
                <w:color w:val="00B050"/>
              </w:rPr>
              <w:t xml:space="preserve">Please ensure an announcement is published </w:t>
            </w:r>
            <w:r w:rsidR="00187369">
              <w:rPr>
                <w:color w:val="00B050"/>
              </w:rPr>
              <w:t xml:space="preserve">with the link to where the </w:t>
            </w:r>
            <w:r w:rsidR="00B47E79">
              <w:rPr>
                <w:color w:val="00B050"/>
              </w:rPr>
              <w:t xml:space="preserve">annual compliance report </w:t>
            </w:r>
            <w:r w:rsidR="000F2870" w:rsidRPr="00FC5B83">
              <w:rPr>
                <w:color w:val="00B050"/>
              </w:rPr>
              <w:t xml:space="preserve">can be found </w:t>
            </w:r>
            <w:r w:rsidR="00B47E79">
              <w:rPr>
                <w:color w:val="00B050"/>
              </w:rPr>
              <w:t>o</w:t>
            </w:r>
            <w:r w:rsidR="000F2870" w:rsidRPr="00FC5B83">
              <w:rPr>
                <w:color w:val="00B050"/>
              </w:rPr>
              <w:t>n the issuer’s website.</w:t>
            </w:r>
          </w:p>
        </w:tc>
        <w:tc>
          <w:tcPr>
            <w:tcW w:w="813" w:type="pct"/>
            <w:tcBorders>
              <w:top w:val="nil"/>
              <w:left w:val="nil"/>
              <w:bottom w:val="single" w:sz="4" w:space="0" w:color="auto"/>
              <w:right w:val="single" w:sz="4" w:space="0" w:color="auto"/>
            </w:tcBorders>
            <w:shd w:val="clear" w:color="auto" w:fill="auto"/>
            <w:vAlign w:val="bottom"/>
          </w:tcPr>
          <w:p w14:paraId="446E704E" w14:textId="77777777" w:rsidR="000F2870" w:rsidRPr="00D56147" w:rsidRDefault="000F2870" w:rsidP="00A146EC">
            <w:pPr>
              <w:jc w:val="both"/>
            </w:pPr>
          </w:p>
        </w:tc>
      </w:tr>
    </w:tbl>
    <w:p w14:paraId="01135746" w14:textId="77777777" w:rsidR="002E5E44" w:rsidRDefault="002E5E44" w:rsidP="002E5E44">
      <w:pPr>
        <w:pStyle w:val="parafullout"/>
        <w:jc w:val="both"/>
        <w:rPr>
          <w:b/>
          <w:szCs w:val="22"/>
        </w:rPr>
      </w:pPr>
    </w:p>
    <w:p w14:paraId="6A96C6EE" w14:textId="77777777" w:rsidR="002E5E44" w:rsidRDefault="002E5E44" w:rsidP="002E5E44">
      <w:pPr>
        <w:pStyle w:val="parafullout"/>
        <w:jc w:val="both"/>
        <w:rPr>
          <w:b/>
          <w:szCs w:val="22"/>
        </w:rPr>
      </w:pPr>
    </w:p>
    <w:p w14:paraId="6B21B728" w14:textId="077C7817" w:rsidR="002E5E44" w:rsidRDefault="002E5E44">
      <w:pPr>
        <w:spacing w:after="0" w:line="240" w:lineRule="auto"/>
        <w:rPr>
          <w:b/>
        </w:rPr>
      </w:pPr>
      <w:r>
        <w:rPr>
          <w:b/>
        </w:rPr>
        <w:br w:type="page"/>
      </w:r>
    </w:p>
    <w:p w14:paraId="4D17B5E3" w14:textId="77777777" w:rsidR="002E5E44" w:rsidRDefault="002E5E44" w:rsidP="002E5E44">
      <w:pPr>
        <w:pStyle w:val="parafullout"/>
        <w:jc w:val="both"/>
        <w:rPr>
          <w:b/>
          <w:szCs w:val="22"/>
        </w:rPr>
      </w:pPr>
    </w:p>
    <w:p w14:paraId="6FF37EC1" w14:textId="355A7AB1" w:rsidR="002E5E44" w:rsidRPr="00B13C47" w:rsidRDefault="002E5E44" w:rsidP="002E5E44">
      <w:pPr>
        <w:pStyle w:val="parafullout"/>
        <w:jc w:val="both"/>
        <w:rPr>
          <w:b/>
          <w:szCs w:val="22"/>
        </w:rPr>
      </w:pPr>
      <w:r w:rsidRPr="00B13C47">
        <w:rPr>
          <w:b/>
          <w:szCs w:val="22"/>
        </w:rPr>
        <w:t>Secondary and dual listings</w:t>
      </w:r>
      <w:r>
        <w:rPr>
          <w:b/>
          <w:szCs w:val="22"/>
        </w:rPr>
        <w:t xml:space="preserve"> </w:t>
      </w:r>
    </w:p>
    <w:p w14:paraId="6B52AEF1" w14:textId="77777777" w:rsidR="002E5E44" w:rsidRPr="00B13C47" w:rsidRDefault="002E5E44" w:rsidP="002E5E44">
      <w:pPr>
        <w:pStyle w:val="parafullout"/>
        <w:jc w:val="both"/>
        <w:rPr>
          <w:szCs w:val="22"/>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1800"/>
        <w:gridCol w:w="1778"/>
      </w:tblGrid>
      <w:tr w:rsidR="002E5E44" w:rsidRPr="00B13C47" w14:paraId="59CFA884" w14:textId="77777777" w:rsidTr="00A146EC">
        <w:tc>
          <w:tcPr>
            <w:tcW w:w="1100" w:type="dxa"/>
            <w:shd w:val="clear" w:color="auto" w:fill="auto"/>
          </w:tcPr>
          <w:p w14:paraId="5E0E4511" w14:textId="77777777" w:rsidR="002E5E44" w:rsidRPr="00B13C47" w:rsidRDefault="002E5E44" w:rsidP="00A146EC">
            <w:pPr>
              <w:pStyle w:val="parafullout"/>
              <w:jc w:val="both"/>
              <w:rPr>
                <w:szCs w:val="22"/>
              </w:rPr>
            </w:pPr>
            <w:r w:rsidRPr="00B13C47">
              <w:rPr>
                <w:b/>
                <w:bCs/>
                <w:szCs w:val="22"/>
              </w:rPr>
              <w:t>LR REF</w:t>
            </w:r>
          </w:p>
        </w:tc>
        <w:tc>
          <w:tcPr>
            <w:tcW w:w="11800" w:type="dxa"/>
            <w:shd w:val="clear" w:color="auto" w:fill="auto"/>
          </w:tcPr>
          <w:p w14:paraId="647C7E35" w14:textId="77777777" w:rsidR="002E5E44" w:rsidRPr="00B13C47" w:rsidRDefault="002E5E44" w:rsidP="00A146EC">
            <w:pPr>
              <w:pStyle w:val="parafullout"/>
              <w:jc w:val="both"/>
              <w:rPr>
                <w:szCs w:val="22"/>
              </w:rPr>
            </w:pPr>
            <w:r w:rsidRPr="00B13C47">
              <w:rPr>
                <w:b/>
                <w:bCs/>
                <w:szCs w:val="22"/>
              </w:rPr>
              <w:t xml:space="preserve">SUMMARY [ Secondary listings – Mainboard and </w:t>
            </w:r>
            <w:proofErr w:type="spellStart"/>
            <w:r w:rsidRPr="00B13C47">
              <w:rPr>
                <w:b/>
                <w:bCs/>
                <w:szCs w:val="22"/>
              </w:rPr>
              <w:t>AltX</w:t>
            </w:r>
            <w:proofErr w:type="spellEnd"/>
            <w:r w:rsidRPr="00B13C47">
              <w:rPr>
                <w:b/>
                <w:bCs/>
                <w:szCs w:val="22"/>
              </w:rPr>
              <w:t>]</w:t>
            </w:r>
          </w:p>
        </w:tc>
        <w:tc>
          <w:tcPr>
            <w:tcW w:w="1778" w:type="dxa"/>
            <w:shd w:val="clear" w:color="auto" w:fill="auto"/>
          </w:tcPr>
          <w:p w14:paraId="170299B6" w14:textId="77777777" w:rsidR="002E5E44" w:rsidRPr="00B13C47" w:rsidRDefault="002E5E44" w:rsidP="00A146EC">
            <w:pPr>
              <w:pStyle w:val="parafullout"/>
              <w:jc w:val="both"/>
              <w:rPr>
                <w:szCs w:val="22"/>
              </w:rPr>
            </w:pPr>
            <w:r w:rsidRPr="00B13C47">
              <w:rPr>
                <w:b/>
                <w:bCs/>
                <w:szCs w:val="22"/>
              </w:rPr>
              <w:t>State reference/ Page number.</w:t>
            </w:r>
          </w:p>
        </w:tc>
      </w:tr>
      <w:tr w:rsidR="002E5E44" w:rsidRPr="00B13C47" w14:paraId="4989F69D" w14:textId="77777777" w:rsidTr="00A146EC">
        <w:tc>
          <w:tcPr>
            <w:tcW w:w="1100" w:type="dxa"/>
            <w:shd w:val="clear" w:color="auto" w:fill="auto"/>
          </w:tcPr>
          <w:p w14:paraId="0E80C226" w14:textId="77777777" w:rsidR="002E5E44" w:rsidRPr="006B1D00" w:rsidRDefault="002E5E44" w:rsidP="00A146EC">
            <w:pPr>
              <w:pStyle w:val="parafullout"/>
              <w:jc w:val="both"/>
              <w:rPr>
                <w:b/>
                <w:bCs/>
                <w:szCs w:val="22"/>
              </w:rPr>
            </w:pPr>
            <w:r w:rsidRPr="006B1D00">
              <w:rPr>
                <w:b/>
                <w:bCs/>
                <w:szCs w:val="22"/>
              </w:rPr>
              <w:t>18.21(a)</w:t>
            </w:r>
          </w:p>
        </w:tc>
        <w:tc>
          <w:tcPr>
            <w:tcW w:w="11800" w:type="dxa"/>
            <w:shd w:val="clear" w:color="auto" w:fill="auto"/>
          </w:tcPr>
          <w:p w14:paraId="52D61367" w14:textId="77777777" w:rsidR="00B44DBA" w:rsidRDefault="00E4376E" w:rsidP="00E4376E">
            <w:pPr>
              <w:pStyle w:val="parafullout"/>
              <w:jc w:val="both"/>
              <w:rPr>
                <w:szCs w:val="22"/>
              </w:rPr>
            </w:pPr>
            <w:r w:rsidRPr="00E4376E">
              <w:rPr>
                <w:szCs w:val="22"/>
              </w:rPr>
              <w:t>Continuing obligations</w:t>
            </w:r>
          </w:p>
          <w:p w14:paraId="286AF866" w14:textId="2D95471E" w:rsidR="00E4376E" w:rsidRPr="00E4376E" w:rsidRDefault="00E4376E" w:rsidP="00E4376E">
            <w:pPr>
              <w:pStyle w:val="parafullout"/>
              <w:jc w:val="both"/>
              <w:rPr>
                <w:szCs w:val="22"/>
              </w:rPr>
            </w:pPr>
            <w:r w:rsidRPr="00E4376E">
              <w:rPr>
                <w:szCs w:val="22"/>
              </w:rPr>
              <w:t>The JSE will allow the requirements of the primary exchange to take precedence</w:t>
            </w:r>
            <w:r>
              <w:rPr>
                <w:szCs w:val="22"/>
              </w:rPr>
              <w:t xml:space="preserve"> </w:t>
            </w:r>
            <w:r w:rsidRPr="00E4376E">
              <w:rPr>
                <w:szCs w:val="22"/>
              </w:rPr>
              <w:t>in relation to applicant issuers with a secondary listing on the JSE, with the</w:t>
            </w:r>
            <w:r>
              <w:rPr>
                <w:szCs w:val="22"/>
              </w:rPr>
              <w:t xml:space="preserve"> </w:t>
            </w:r>
            <w:r w:rsidRPr="00E4376E">
              <w:rPr>
                <w:szCs w:val="22"/>
              </w:rPr>
              <w:t>following exceptions:</w:t>
            </w:r>
          </w:p>
          <w:p w14:paraId="7CA4D862" w14:textId="5E842722" w:rsidR="002E5E44" w:rsidRPr="00B13C47" w:rsidRDefault="00E4376E" w:rsidP="00A146EC">
            <w:pPr>
              <w:pStyle w:val="parafullout"/>
              <w:jc w:val="both"/>
              <w:rPr>
                <w:szCs w:val="22"/>
              </w:rPr>
            </w:pPr>
            <w:r w:rsidRPr="00E4376E">
              <w:rPr>
                <w:szCs w:val="22"/>
              </w:rPr>
              <w:t>the annual financial statements and any other communication with</w:t>
            </w:r>
            <w:r>
              <w:rPr>
                <w:szCs w:val="22"/>
              </w:rPr>
              <w:t xml:space="preserve"> </w:t>
            </w:r>
            <w:r w:rsidRPr="00E4376E">
              <w:rPr>
                <w:szCs w:val="22"/>
              </w:rPr>
              <w:t>shareholders must state where the primary and secondary listings of the</w:t>
            </w:r>
            <w:r>
              <w:rPr>
                <w:szCs w:val="22"/>
              </w:rPr>
              <w:t xml:space="preserve"> </w:t>
            </w:r>
            <w:r w:rsidRPr="00E4376E">
              <w:rPr>
                <w:szCs w:val="22"/>
              </w:rPr>
              <w:t>applicant issuer’s securities are;</w:t>
            </w:r>
          </w:p>
        </w:tc>
        <w:tc>
          <w:tcPr>
            <w:tcW w:w="1778" w:type="dxa"/>
            <w:shd w:val="clear" w:color="auto" w:fill="auto"/>
          </w:tcPr>
          <w:p w14:paraId="5B0E2ABA" w14:textId="77777777" w:rsidR="002E5E44" w:rsidRPr="00B13C47" w:rsidRDefault="002E5E44" w:rsidP="00A146EC">
            <w:pPr>
              <w:pStyle w:val="parafullout"/>
              <w:jc w:val="both"/>
              <w:rPr>
                <w:szCs w:val="22"/>
              </w:rPr>
            </w:pPr>
          </w:p>
        </w:tc>
      </w:tr>
      <w:tr w:rsidR="002E5E44" w:rsidRPr="00B13C47" w14:paraId="7F8BF6CD" w14:textId="77777777" w:rsidTr="00A146EC">
        <w:tc>
          <w:tcPr>
            <w:tcW w:w="1100" w:type="dxa"/>
            <w:shd w:val="clear" w:color="auto" w:fill="auto"/>
          </w:tcPr>
          <w:p w14:paraId="4CC6C518" w14:textId="77777777" w:rsidR="002E5E44" w:rsidRPr="006B1D00" w:rsidRDefault="002E5E44" w:rsidP="00A146EC">
            <w:pPr>
              <w:pStyle w:val="parafullout"/>
              <w:jc w:val="both"/>
              <w:rPr>
                <w:b/>
                <w:bCs/>
                <w:szCs w:val="22"/>
              </w:rPr>
            </w:pPr>
            <w:r w:rsidRPr="006B1D00">
              <w:rPr>
                <w:b/>
                <w:bCs/>
                <w:szCs w:val="22"/>
              </w:rPr>
              <w:t>18.21(c)</w:t>
            </w:r>
          </w:p>
        </w:tc>
        <w:tc>
          <w:tcPr>
            <w:tcW w:w="11800" w:type="dxa"/>
            <w:shd w:val="clear" w:color="auto" w:fill="auto"/>
          </w:tcPr>
          <w:p w14:paraId="0083FE51" w14:textId="36B14C0D" w:rsidR="002E5E44" w:rsidRPr="00B13C47" w:rsidRDefault="00E4376E" w:rsidP="00E4376E">
            <w:pPr>
              <w:pStyle w:val="parafullout"/>
              <w:jc w:val="both"/>
              <w:rPr>
                <w:szCs w:val="22"/>
              </w:rPr>
            </w:pPr>
            <w:bookmarkStart w:id="0" w:name="OLE_LINK3"/>
            <w:bookmarkStart w:id="1" w:name="OLE_LINK4"/>
            <w:r w:rsidRPr="00E4376E">
              <w:rPr>
                <w:szCs w:val="22"/>
              </w:rPr>
              <w:t>it must publish, in its interim and year-end results, headline earnings per</w:t>
            </w:r>
            <w:r>
              <w:rPr>
                <w:szCs w:val="22"/>
              </w:rPr>
              <w:t xml:space="preserve"> </w:t>
            </w:r>
            <w:r w:rsidRPr="00E4376E">
              <w:rPr>
                <w:szCs w:val="22"/>
              </w:rPr>
              <w:t>share and diluted headline earnings per share together with an itemised</w:t>
            </w:r>
            <w:r>
              <w:rPr>
                <w:szCs w:val="22"/>
              </w:rPr>
              <w:t xml:space="preserve"> </w:t>
            </w:r>
            <w:r w:rsidRPr="00E4376E">
              <w:rPr>
                <w:szCs w:val="22"/>
              </w:rPr>
              <w:t>reconciliation between headline earnings and the earnings used in the</w:t>
            </w:r>
            <w:r>
              <w:rPr>
                <w:szCs w:val="22"/>
              </w:rPr>
              <w:t xml:space="preserve"> </w:t>
            </w:r>
            <w:r w:rsidRPr="00E4376E">
              <w:rPr>
                <w:szCs w:val="22"/>
              </w:rPr>
              <w:t>calculation;</w:t>
            </w:r>
            <w:bookmarkEnd w:id="0"/>
            <w:bookmarkEnd w:id="1"/>
          </w:p>
        </w:tc>
        <w:tc>
          <w:tcPr>
            <w:tcW w:w="1778" w:type="dxa"/>
            <w:shd w:val="clear" w:color="auto" w:fill="auto"/>
          </w:tcPr>
          <w:p w14:paraId="62C01FAC" w14:textId="77777777" w:rsidR="002E5E44" w:rsidRPr="00B13C47" w:rsidRDefault="002E5E44" w:rsidP="00A146EC">
            <w:pPr>
              <w:pStyle w:val="parafullout"/>
              <w:jc w:val="both"/>
              <w:rPr>
                <w:szCs w:val="22"/>
              </w:rPr>
            </w:pPr>
          </w:p>
        </w:tc>
      </w:tr>
      <w:tr w:rsidR="002E5E44" w:rsidRPr="00B13C47" w14:paraId="081C5F77" w14:textId="77777777" w:rsidTr="00A146EC">
        <w:tc>
          <w:tcPr>
            <w:tcW w:w="1100" w:type="dxa"/>
            <w:shd w:val="clear" w:color="auto" w:fill="auto"/>
          </w:tcPr>
          <w:p w14:paraId="378822AA" w14:textId="77777777" w:rsidR="002E5E44" w:rsidRPr="006B1D00" w:rsidRDefault="002E5E44" w:rsidP="00A146EC">
            <w:pPr>
              <w:pStyle w:val="parafullout"/>
              <w:jc w:val="both"/>
              <w:rPr>
                <w:b/>
                <w:bCs/>
                <w:szCs w:val="22"/>
              </w:rPr>
            </w:pPr>
            <w:r w:rsidRPr="006B1D00">
              <w:rPr>
                <w:b/>
                <w:bCs/>
                <w:szCs w:val="22"/>
              </w:rPr>
              <w:t>18.21(d)</w:t>
            </w:r>
          </w:p>
        </w:tc>
        <w:tc>
          <w:tcPr>
            <w:tcW w:w="11800" w:type="dxa"/>
            <w:shd w:val="clear" w:color="auto" w:fill="auto"/>
          </w:tcPr>
          <w:p w14:paraId="7CA6A7E6" w14:textId="2508291E" w:rsidR="002E5E44" w:rsidRPr="00B13C47" w:rsidRDefault="00E4376E" w:rsidP="00A146EC">
            <w:pPr>
              <w:pStyle w:val="parafullout"/>
              <w:jc w:val="both"/>
              <w:rPr>
                <w:szCs w:val="22"/>
              </w:rPr>
            </w:pPr>
            <w:r>
              <w:t>its interim and year-end results must be prepared and published in compliance with the acceptable accounting frameworks of the exchange where it has its primary listing;</w:t>
            </w:r>
            <w:r w:rsidR="002E5E44" w:rsidRPr="00B13C47">
              <w:rPr>
                <w:szCs w:val="22"/>
              </w:rPr>
              <w:t xml:space="preserve"> </w:t>
            </w:r>
          </w:p>
        </w:tc>
        <w:tc>
          <w:tcPr>
            <w:tcW w:w="1778" w:type="dxa"/>
            <w:shd w:val="clear" w:color="auto" w:fill="auto"/>
          </w:tcPr>
          <w:p w14:paraId="20842216" w14:textId="77777777" w:rsidR="002E5E44" w:rsidRPr="00B13C47" w:rsidRDefault="002E5E44" w:rsidP="00A146EC">
            <w:pPr>
              <w:pStyle w:val="parafullout"/>
              <w:jc w:val="both"/>
              <w:rPr>
                <w:szCs w:val="22"/>
              </w:rPr>
            </w:pPr>
          </w:p>
        </w:tc>
      </w:tr>
      <w:tr w:rsidR="002E5E44" w:rsidRPr="00B13C47" w14:paraId="346930D6" w14:textId="77777777" w:rsidTr="00A146EC">
        <w:tc>
          <w:tcPr>
            <w:tcW w:w="1100" w:type="dxa"/>
            <w:shd w:val="clear" w:color="auto" w:fill="auto"/>
          </w:tcPr>
          <w:p w14:paraId="5A78FD3F" w14:textId="77777777" w:rsidR="00B44DBA" w:rsidRPr="006B1D00" w:rsidRDefault="002E5E44" w:rsidP="00A146EC">
            <w:pPr>
              <w:autoSpaceDE w:val="0"/>
              <w:autoSpaceDN w:val="0"/>
              <w:adjustRightInd w:val="0"/>
              <w:jc w:val="both"/>
              <w:rPr>
                <w:rFonts w:cs="Times New Roman"/>
                <w:b/>
                <w:bCs/>
              </w:rPr>
            </w:pPr>
            <w:r w:rsidRPr="006B1D00">
              <w:rPr>
                <w:rFonts w:cs="Times New Roman"/>
                <w:b/>
                <w:bCs/>
              </w:rPr>
              <w:t xml:space="preserve">18.22 </w:t>
            </w:r>
          </w:p>
          <w:p w14:paraId="61CE43AD" w14:textId="77777777" w:rsidR="00B44DBA" w:rsidRPr="006B1D00" w:rsidRDefault="00B44DBA" w:rsidP="00A146EC">
            <w:pPr>
              <w:autoSpaceDE w:val="0"/>
              <w:autoSpaceDN w:val="0"/>
              <w:adjustRightInd w:val="0"/>
              <w:jc w:val="both"/>
              <w:rPr>
                <w:rFonts w:cs="Times New Roman"/>
                <w:b/>
                <w:bCs/>
              </w:rPr>
            </w:pPr>
          </w:p>
          <w:p w14:paraId="4E463E58" w14:textId="77777777" w:rsidR="00B44DBA" w:rsidRPr="006B1D00" w:rsidRDefault="00B44DBA" w:rsidP="00A146EC">
            <w:pPr>
              <w:autoSpaceDE w:val="0"/>
              <w:autoSpaceDN w:val="0"/>
              <w:adjustRightInd w:val="0"/>
              <w:jc w:val="both"/>
              <w:rPr>
                <w:rFonts w:cs="Times New Roman"/>
                <w:b/>
                <w:bCs/>
              </w:rPr>
            </w:pPr>
          </w:p>
          <w:p w14:paraId="637C4E86" w14:textId="77777777" w:rsidR="00B44DBA" w:rsidRPr="006B1D00" w:rsidRDefault="00B44DBA" w:rsidP="00A146EC">
            <w:pPr>
              <w:autoSpaceDE w:val="0"/>
              <w:autoSpaceDN w:val="0"/>
              <w:adjustRightInd w:val="0"/>
              <w:jc w:val="both"/>
              <w:rPr>
                <w:rFonts w:cs="Times New Roman"/>
                <w:b/>
                <w:bCs/>
              </w:rPr>
            </w:pPr>
          </w:p>
          <w:p w14:paraId="728B3B15" w14:textId="77777777" w:rsidR="00B44DBA" w:rsidRPr="006B1D00" w:rsidRDefault="00B44DBA" w:rsidP="00A146EC">
            <w:pPr>
              <w:autoSpaceDE w:val="0"/>
              <w:autoSpaceDN w:val="0"/>
              <w:adjustRightInd w:val="0"/>
              <w:jc w:val="both"/>
              <w:rPr>
                <w:rFonts w:cs="Times New Roman"/>
                <w:b/>
                <w:bCs/>
              </w:rPr>
            </w:pPr>
          </w:p>
          <w:p w14:paraId="380F3AE9" w14:textId="12D0537E" w:rsidR="002E5E44" w:rsidRPr="006B1D00" w:rsidRDefault="002E5E44" w:rsidP="00A146EC">
            <w:pPr>
              <w:autoSpaceDE w:val="0"/>
              <w:autoSpaceDN w:val="0"/>
              <w:adjustRightInd w:val="0"/>
              <w:jc w:val="both"/>
              <w:rPr>
                <w:rFonts w:cs="Times New Roman"/>
                <w:b/>
                <w:bCs/>
              </w:rPr>
            </w:pPr>
            <w:r w:rsidRPr="006B1D00">
              <w:rPr>
                <w:rFonts w:cs="Times New Roman"/>
                <w:b/>
                <w:bCs/>
              </w:rPr>
              <w:t>18.23</w:t>
            </w:r>
          </w:p>
          <w:p w14:paraId="438717EB" w14:textId="77777777" w:rsidR="00E4376E" w:rsidRPr="006B1D00" w:rsidRDefault="00E4376E" w:rsidP="00A146EC">
            <w:pPr>
              <w:autoSpaceDE w:val="0"/>
              <w:autoSpaceDN w:val="0"/>
              <w:adjustRightInd w:val="0"/>
              <w:jc w:val="both"/>
              <w:rPr>
                <w:b/>
                <w:bCs/>
              </w:rPr>
            </w:pPr>
          </w:p>
        </w:tc>
        <w:tc>
          <w:tcPr>
            <w:tcW w:w="11800" w:type="dxa"/>
            <w:shd w:val="clear" w:color="auto" w:fill="auto"/>
          </w:tcPr>
          <w:p w14:paraId="6982F975" w14:textId="742AF2F3" w:rsidR="00E4376E" w:rsidRDefault="00E4376E" w:rsidP="00A146EC">
            <w:pPr>
              <w:pStyle w:val="parafullout"/>
              <w:jc w:val="both"/>
            </w:pPr>
            <w:r>
              <w:t>In respect of an applicant issuer with a primary listing on an exchange not approved by the JSE, the applicant issuer must submit to the JSE, together with the applicant issuer’s annual financial statements pursuant to paragraphs 3.19 and 3.21(a) or by no later than four months from the financial year-end of the applicant issuer, details of the volume and value of securities traded (over the previous 24 months), on all exchanges where it has a listing, in order for the JSE to consider the applicant issuer’s continued secondary listing status.</w:t>
            </w:r>
          </w:p>
          <w:p w14:paraId="761233EC" w14:textId="77777777" w:rsidR="00B44DBA" w:rsidRDefault="00B44DBA" w:rsidP="00A146EC">
            <w:pPr>
              <w:pStyle w:val="parafullout"/>
              <w:jc w:val="both"/>
            </w:pPr>
          </w:p>
          <w:p w14:paraId="19F6691E" w14:textId="54E8ECB1" w:rsidR="00E4376E" w:rsidRDefault="00E4376E" w:rsidP="00A146EC">
            <w:pPr>
              <w:pStyle w:val="parafullout"/>
              <w:jc w:val="both"/>
              <w:rPr>
                <w:szCs w:val="22"/>
              </w:rPr>
            </w:pPr>
            <w:r>
              <w:t xml:space="preserve">In respect of an applicant issuer with a primary listing on an exchange not approved by the JSE, if both the volume and value of securities traded on the JSE exceeded 50% of the total volume and total value of those securities (over the previous 24 months) traded on all exchanges where the applicant issuer has a listing, then the applicant issuer's listing status on the JSE in respect of those securities may be converted to a primary listing. The converse would apply when both the volume and value of securities </w:t>
            </w:r>
            <w:r>
              <w:lastRenderedPageBreak/>
              <w:t>traded on the JSE was 50% or below.</w:t>
            </w:r>
          </w:p>
          <w:p w14:paraId="2672A521" w14:textId="77777777" w:rsidR="00E4376E" w:rsidRDefault="00E4376E" w:rsidP="00A146EC">
            <w:pPr>
              <w:pStyle w:val="parafullout"/>
              <w:jc w:val="both"/>
              <w:rPr>
                <w:szCs w:val="22"/>
              </w:rPr>
            </w:pPr>
          </w:p>
          <w:p w14:paraId="64BBEF2F" w14:textId="77777777" w:rsidR="002E5E44" w:rsidRPr="00B13C47" w:rsidRDefault="002E5E44" w:rsidP="00A146EC">
            <w:pPr>
              <w:pStyle w:val="parafullout"/>
              <w:jc w:val="both"/>
              <w:rPr>
                <w:szCs w:val="22"/>
              </w:rPr>
            </w:pPr>
            <w:r w:rsidRPr="00B13C47">
              <w:rPr>
                <w:szCs w:val="22"/>
              </w:rPr>
              <w:t>For illustrative purposes only</w:t>
            </w:r>
            <w:r w:rsidRPr="00B13C47">
              <w:rPr>
                <w:rFonts w:cs="Times New Roman"/>
                <w:szCs w:val="22"/>
              </w:rPr>
              <w:t xml:space="preserve"> 18.22 information</w:t>
            </w:r>
            <w:r w:rsidRPr="00B13C47">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376"/>
              <w:gridCol w:w="1998"/>
              <w:gridCol w:w="2458"/>
              <w:gridCol w:w="2210"/>
            </w:tblGrid>
            <w:tr w:rsidR="002E5E44" w:rsidRPr="00B13C47" w14:paraId="407CB58C" w14:textId="77777777" w:rsidTr="00A146EC">
              <w:tc>
                <w:tcPr>
                  <w:tcW w:w="2532" w:type="dxa"/>
                  <w:shd w:val="clear" w:color="auto" w:fill="auto"/>
                </w:tcPr>
                <w:p w14:paraId="18D3D19E" w14:textId="77777777" w:rsidR="002E5E44" w:rsidRPr="00B13C47" w:rsidRDefault="002E5E44" w:rsidP="00A146EC">
                  <w:pPr>
                    <w:pStyle w:val="parafullout"/>
                    <w:jc w:val="both"/>
                    <w:rPr>
                      <w:sz w:val="18"/>
                      <w:szCs w:val="18"/>
                    </w:rPr>
                  </w:pPr>
                  <w:r w:rsidRPr="00B13C47">
                    <w:rPr>
                      <w:sz w:val="18"/>
                      <w:szCs w:val="18"/>
                    </w:rPr>
                    <w:t>Total volumes JSE</w:t>
                  </w:r>
                </w:p>
              </w:tc>
              <w:tc>
                <w:tcPr>
                  <w:tcW w:w="2376" w:type="dxa"/>
                  <w:shd w:val="clear" w:color="auto" w:fill="auto"/>
                </w:tcPr>
                <w:p w14:paraId="111D5153" w14:textId="73B1D408" w:rsidR="002E5E44" w:rsidRPr="00B13C47" w:rsidRDefault="002E5E44" w:rsidP="00A146EC">
                  <w:pPr>
                    <w:pStyle w:val="parafullout"/>
                    <w:jc w:val="both"/>
                    <w:rPr>
                      <w:sz w:val="18"/>
                      <w:szCs w:val="18"/>
                    </w:rPr>
                  </w:pPr>
                  <w:r w:rsidRPr="00B13C47">
                    <w:rPr>
                      <w:sz w:val="18"/>
                      <w:szCs w:val="18"/>
                    </w:rPr>
                    <w:t xml:space="preserve">JSE volume as a percentage of (Total for </w:t>
                  </w:r>
                  <w:r w:rsidR="00E8192B" w:rsidRPr="00B13C47">
                    <w:rPr>
                      <w:sz w:val="18"/>
                      <w:szCs w:val="18"/>
                    </w:rPr>
                    <w:t>JSE and</w:t>
                  </w:r>
                  <w:r w:rsidRPr="00B13C47">
                    <w:rPr>
                      <w:sz w:val="18"/>
                      <w:szCs w:val="18"/>
                    </w:rPr>
                    <w:t xml:space="preserve"> Other exchanges)</w:t>
                  </w:r>
                </w:p>
              </w:tc>
              <w:tc>
                <w:tcPr>
                  <w:tcW w:w="1998" w:type="dxa"/>
                </w:tcPr>
                <w:p w14:paraId="2CC59619" w14:textId="77777777" w:rsidR="002E5E44" w:rsidRPr="00B13C47" w:rsidRDefault="002E5E44" w:rsidP="00A146EC">
                  <w:pPr>
                    <w:pStyle w:val="parafullout"/>
                    <w:jc w:val="both"/>
                    <w:rPr>
                      <w:sz w:val="18"/>
                      <w:szCs w:val="18"/>
                    </w:rPr>
                  </w:pPr>
                  <w:r w:rsidRPr="00B13C47">
                    <w:rPr>
                      <w:sz w:val="18"/>
                      <w:szCs w:val="18"/>
                    </w:rPr>
                    <w:t>Total value JSE</w:t>
                  </w:r>
                </w:p>
              </w:tc>
              <w:tc>
                <w:tcPr>
                  <w:tcW w:w="2458" w:type="dxa"/>
                  <w:shd w:val="clear" w:color="auto" w:fill="auto"/>
                </w:tcPr>
                <w:p w14:paraId="331C18B8" w14:textId="0A62DA0B" w:rsidR="002E5E44" w:rsidRPr="00B13C47" w:rsidRDefault="002E5E44" w:rsidP="00A146EC">
                  <w:pPr>
                    <w:pStyle w:val="parafullout"/>
                    <w:jc w:val="both"/>
                    <w:rPr>
                      <w:sz w:val="18"/>
                      <w:szCs w:val="18"/>
                    </w:rPr>
                  </w:pPr>
                  <w:r w:rsidRPr="00B13C47">
                    <w:rPr>
                      <w:sz w:val="18"/>
                      <w:szCs w:val="18"/>
                    </w:rPr>
                    <w:t xml:space="preserve">JSE value as a percentage of (Total for </w:t>
                  </w:r>
                  <w:r w:rsidR="00E8192B" w:rsidRPr="00B13C47">
                    <w:rPr>
                      <w:sz w:val="18"/>
                      <w:szCs w:val="18"/>
                    </w:rPr>
                    <w:t>JSE and</w:t>
                  </w:r>
                  <w:r w:rsidRPr="00B13C47">
                    <w:rPr>
                      <w:sz w:val="18"/>
                      <w:szCs w:val="18"/>
                    </w:rPr>
                    <w:t xml:space="preserve"> Other exchanges)</w:t>
                  </w:r>
                </w:p>
              </w:tc>
              <w:tc>
                <w:tcPr>
                  <w:tcW w:w="2210" w:type="dxa"/>
                </w:tcPr>
                <w:p w14:paraId="57ED2A4D" w14:textId="77777777" w:rsidR="002E5E44" w:rsidRPr="00B13C47" w:rsidRDefault="002E5E44" w:rsidP="00A146EC">
                  <w:pPr>
                    <w:pStyle w:val="parafullout"/>
                    <w:jc w:val="both"/>
                    <w:rPr>
                      <w:sz w:val="18"/>
                      <w:szCs w:val="18"/>
                    </w:rPr>
                  </w:pPr>
                </w:p>
              </w:tc>
            </w:tr>
            <w:tr w:rsidR="002E5E44" w:rsidRPr="00B13C47" w14:paraId="1ACDD9FF" w14:textId="77777777" w:rsidTr="00A146EC">
              <w:tc>
                <w:tcPr>
                  <w:tcW w:w="2532" w:type="dxa"/>
                  <w:shd w:val="clear" w:color="auto" w:fill="auto"/>
                </w:tcPr>
                <w:p w14:paraId="0B4D9314" w14:textId="77777777" w:rsidR="002E5E44" w:rsidRPr="00B13C47" w:rsidRDefault="002E5E44" w:rsidP="00A146EC">
                  <w:pPr>
                    <w:pStyle w:val="parafullout"/>
                    <w:jc w:val="both"/>
                    <w:rPr>
                      <w:sz w:val="18"/>
                      <w:szCs w:val="18"/>
                    </w:rPr>
                  </w:pPr>
                  <w:r w:rsidRPr="00B13C47">
                    <w:rPr>
                      <w:sz w:val="18"/>
                      <w:szCs w:val="18"/>
                    </w:rPr>
                    <w:t>Total volume (other exchanges)</w:t>
                  </w:r>
                </w:p>
              </w:tc>
              <w:tc>
                <w:tcPr>
                  <w:tcW w:w="2376" w:type="dxa"/>
                  <w:shd w:val="clear" w:color="auto" w:fill="auto"/>
                </w:tcPr>
                <w:p w14:paraId="3A102A3A" w14:textId="54E0F682" w:rsidR="002E5E44" w:rsidRPr="00B13C47" w:rsidRDefault="002E5E44" w:rsidP="00A146EC">
                  <w:pPr>
                    <w:pStyle w:val="parafullout"/>
                    <w:jc w:val="both"/>
                    <w:rPr>
                      <w:sz w:val="18"/>
                      <w:szCs w:val="18"/>
                    </w:rPr>
                  </w:pPr>
                  <w:r w:rsidRPr="00B13C47">
                    <w:rPr>
                      <w:sz w:val="18"/>
                      <w:szCs w:val="18"/>
                    </w:rPr>
                    <w:t xml:space="preserve">Other exchanges volume as a percentage of (Total for </w:t>
                  </w:r>
                  <w:r w:rsidR="00E8192B" w:rsidRPr="00B13C47">
                    <w:rPr>
                      <w:sz w:val="18"/>
                      <w:szCs w:val="18"/>
                    </w:rPr>
                    <w:t>JSE and</w:t>
                  </w:r>
                  <w:r w:rsidRPr="00B13C47">
                    <w:rPr>
                      <w:sz w:val="18"/>
                      <w:szCs w:val="18"/>
                    </w:rPr>
                    <w:t xml:space="preserve"> Other exchanges)</w:t>
                  </w:r>
                </w:p>
              </w:tc>
              <w:tc>
                <w:tcPr>
                  <w:tcW w:w="1998" w:type="dxa"/>
                </w:tcPr>
                <w:p w14:paraId="1930C33F" w14:textId="77777777" w:rsidR="002E5E44" w:rsidRPr="00B13C47" w:rsidRDefault="002E5E44" w:rsidP="00A146EC">
                  <w:pPr>
                    <w:pStyle w:val="parafullout"/>
                    <w:jc w:val="both"/>
                    <w:rPr>
                      <w:sz w:val="18"/>
                      <w:szCs w:val="18"/>
                    </w:rPr>
                  </w:pPr>
                  <w:r w:rsidRPr="00B13C47">
                    <w:rPr>
                      <w:sz w:val="18"/>
                      <w:szCs w:val="18"/>
                    </w:rPr>
                    <w:t>Total value* (other exchanges)</w:t>
                  </w:r>
                </w:p>
              </w:tc>
              <w:tc>
                <w:tcPr>
                  <w:tcW w:w="2458" w:type="dxa"/>
                  <w:shd w:val="clear" w:color="auto" w:fill="auto"/>
                </w:tcPr>
                <w:p w14:paraId="7EBF08FF" w14:textId="5B95B60C" w:rsidR="002E5E44" w:rsidRPr="00B13C47" w:rsidRDefault="002E5E44" w:rsidP="00A146EC">
                  <w:pPr>
                    <w:pStyle w:val="parafullout"/>
                    <w:jc w:val="both"/>
                    <w:rPr>
                      <w:sz w:val="18"/>
                      <w:szCs w:val="18"/>
                    </w:rPr>
                  </w:pPr>
                  <w:r w:rsidRPr="00B13C47">
                    <w:rPr>
                      <w:sz w:val="18"/>
                      <w:szCs w:val="18"/>
                    </w:rPr>
                    <w:t xml:space="preserve">Other exchanges value as a percentage of (Total for </w:t>
                  </w:r>
                  <w:r w:rsidR="00E8192B" w:rsidRPr="00B13C47">
                    <w:rPr>
                      <w:sz w:val="18"/>
                      <w:szCs w:val="18"/>
                    </w:rPr>
                    <w:t>JSE and</w:t>
                  </w:r>
                  <w:r w:rsidRPr="00B13C47">
                    <w:rPr>
                      <w:sz w:val="18"/>
                      <w:szCs w:val="18"/>
                    </w:rPr>
                    <w:t xml:space="preserve"> Other exchanges)</w:t>
                  </w:r>
                </w:p>
              </w:tc>
              <w:tc>
                <w:tcPr>
                  <w:tcW w:w="2210" w:type="dxa"/>
                </w:tcPr>
                <w:p w14:paraId="01C918EC" w14:textId="77777777" w:rsidR="002E5E44" w:rsidRPr="00B13C47" w:rsidRDefault="002E5E44" w:rsidP="00A146EC">
                  <w:pPr>
                    <w:pStyle w:val="parafullout"/>
                    <w:jc w:val="both"/>
                    <w:rPr>
                      <w:sz w:val="18"/>
                      <w:szCs w:val="18"/>
                    </w:rPr>
                  </w:pPr>
                  <w:r w:rsidRPr="00B13C47">
                    <w:rPr>
                      <w:sz w:val="18"/>
                      <w:szCs w:val="18"/>
                    </w:rPr>
                    <w:t>*</w:t>
                  </w:r>
                  <w:proofErr w:type="gramStart"/>
                  <w:r w:rsidRPr="00B13C47">
                    <w:rPr>
                      <w:sz w:val="18"/>
                      <w:szCs w:val="18"/>
                    </w:rPr>
                    <w:t>value</w:t>
                  </w:r>
                  <w:proofErr w:type="gramEnd"/>
                  <w:r w:rsidRPr="00B13C47">
                    <w:rPr>
                      <w:sz w:val="18"/>
                      <w:szCs w:val="18"/>
                    </w:rPr>
                    <w:t xml:space="preserve"> must be expressed in common currency (apply the applicable conversion currency rate)</w:t>
                  </w:r>
                </w:p>
              </w:tc>
            </w:tr>
            <w:tr w:rsidR="002E5E44" w:rsidRPr="00B13C47" w14:paraId="21C6614B" w14:textId="77777777" w:rsidTr="00A146EC">
              <w:tc>
                <w:tcPr>
                  <w:tcW w:w="2532" w:type="dxa"/>
                  <w:shd w:val="clear" w:color="auto" w:fill="auto"/>
                </w:tcPr>
                <w:p w14:paraId="6630D152" w14:textId="4B19BEC7" w:rsidR="002E5E44" w:rsidRPr="00B13C47" w:rsidRDefault="002E5E44" w:rsidP="00A146EC">
                  <w:pPr>
                    <w:pStyle w:val="parafullout"/>
                    <w:jc w:val="both"/>
                    <w:rPr>
                      <w:b/>
                      <w:sz w:val="18"/>
                      <w:szCs w:val="18"/>
                    </w:rPr>
                  </w:pPr>
                  <w:r w:rsidRPr="00B13C47">
                    <w:rPr>
                      <w:b/>
                      <w:sz w:val="18"/>
                      <w:szCs w:val="18"/>
                    </w:rPr>
                    <w:t xml:space="preserve">Total volumes for </w:t>
                  </w:r>
                  <w:r w:rsidR="00E8192B" w:rsidRPr="00B13C47">
                    <w:rPr>
                      <w:b/>
                      <w:sz w:val="18"/>
                      <w:szCs w:val="18"/>
                    </w:rPr>
                    <w:t>JSE and</w:t>
                  </w:r>
                  <w:r w:rsidRPr="00B13C47">
                    <w:rPr>
                      <w:b/>
                      <w:sz w:val="18"/>
                      <w:szCs w:val="18"/>
                    </w:rPr>
                    <w:t xml:space="preserve"> Other exchanges</w:t>
                  </w:r>
                </w:p>
              </w:tc>
              <w:tc>
                <w:tcPr>
                  <w:tcW w:w="2376" w:type="dxa"/>
                  <w:shd w:val="clear" w:color="auto" w:fill="auto"/>
                </w:tcPr>
                <w:p w14:paraId="79DB24C8" w14:textId="0976F573" w:rsidR="002E5E44" w:rsidRPr="00B13C47" w:rsidRDefault="002E5E44" w:rsidP="00A146EC">
                  <w:pPr>
                    <w:pStyle w:val="parafullout"/>
                    <w:jc w:val="both"/>
                    <w:rPr>
                      <w:b/>
                      <w:sz w:val="18"/>
                      <w:szCs w:val="18"/>
                    </w:rPr>
                  </w:pPr>
                  <w:r w:rsidRPr="00B13C47">
                    <w:rPr>
                      <w:b/>
                      <w:sz w:val="18"/>
                      <w:szCs w:val="18"/>
                    </w:rPr>
                    <w:t xml:space="preserve">Total percentage volume for </w:t>
                  </w:r>
                  <w:r w:rsidR="00E8192B" w:rsidRPr="00B13C47">
                    <w:rPr>
                      <w:b/>
                      <w:sz w:val="18"/>
                      <w:szCs w:val="18"/>
                    </w:rPr>
                    <w:t>JSE and</w:t>
                  </w:r>
                  <w:r w:rsidRPr="00B13C47">
                    <w:rPr>
                      <w:b/>
                      <w:sz w:val="18"/>
                      <w:szCs w:val="18"/>
                    </w:rPr>
                    <w:t xml:space="preserve"> Other exchanges</w:t>
                  </w:r>
                </w:p>
              </w:tc>
              <w:tc>
                <w:tcPr>
                  <w:tcW w:w="1998" w:type="dxa"/>
                </w:tcPr>
                <w:p w14:paraId="671EFF5F" w14:textId="77777777" w:rsidR="002E5E44" w:rsidRPr="00B13C47" w:rsidRDefault="002E5E44" w:rsidP="00A146EC">
                  <w:pPr>
                    <w:pStyle w:val="parafullout"/>
                    <w:jc w:val="both"/>
                    <w:rPr>
                      <w:b/>
                      <w:sz w:val="18"/>
                      <w:szCs w:val="18"/>
                    </w:rPr>
                  </w:pPr>
                  <w:r w:rsidRPr="00B13C47">
                    <w:rPr>
                      <w:b/>
                      <w:sz w:val="18"/>
                      <w:szCs w:val="18"/>
                    </w:rPr>
                    <w:t>Total value for JSE and Other exchanges</w:t>
                  </w:r>
                </w:p>
              </w:tc>
              <w:tc>
                <w:tcPr>
                  <w:tcW w:w="2458" w:type="dxa"/>
                  <w:shd w:val="clear" w:color="auto" w:fill="auto"/>
                </w:tcPr>
                <w:p w14:paraId="2B37BCF3" w14:textId="77777777" w:rsidR="002E5E44" w:rsidRPr="00B13C47" w:rsidRDefault="002E5E44" w:rsidP="00A146EC">
                  <w:pPr>
                    <w:pStyle w:val="parafullout"/>
                    <w:jc w:val="both"/>
                    <w:rPr>
                      <w:b/>
                      <w:sz w:val="18"/>
                      <w:szCs w:val="18"/>
                    </w:rPr>
                  </w:pPr>
                  <w:r w:rsidRPr="00B13C47">
                    <w:rPr>
                      <w:b/>
                      <w:sz w:val="18"/>
                      <w:szCs w:val="18"/>
                    </w:rPr>
                    <w:t>Total percentage value for JSE and Other exchanges</w:t>
                  </w:r>
                </w:p>
              </w:tc>
              <w:tc>
                <w:tcPr>
                  <w:tcW w:w="2210" w:type="dxa"/>
                </w:tcPr>
                <w:p w14:paraId="14587D2A" w14:textId="77777777" w:rsidR="002E5E44" w:rsidRPr="00B13C47" w:rsidRDefault="002E5E44" w:rsidP="00A146EC">
                  <w:pPr>
                    <w:pStyle w:val="parafullout"/>
                    <w:jc w:val="both"/>
                    <w:rPr>
                      <w:sz w:val="18"/>
                      <w:szCs w:val="18"/>
                    </w:rPr>
                  </w:pPr>
                </w:p>
              </w:tc>
            </w:tr>
          </w:tbl>
          <w:p w14:paraId="528F3417" w14:textId="77777777" w:rsidR="002E5E44" w:rsidRPr="00B13C47" w:rsidRDefault="002E5E44" w:rsidP="00A146EC">
            <w:pPr>
              <w:pStyle w:val="parafullout"/>
              <w:jc w:val="both"/>
              <w:rPr>
                <w:szCs w:val="22"/>
              </w:rPr>
            </w:pPr>
          </w:p>
        </w:tc>
        <w:tc>
          <w:tcPr>
            <w:tcW w:w="1778" w:type="dxa"/>
            <w:shd w:val="clear" w:color="auto" w:fill="auto"/>
          </w:tcPr>
          <w:p w14:paraId="5ACE38E3" w14:textId="77777777" w:rsidR="002E5E44" w:rsidRPr="00B13C47" w:rsidRDefault="002E5E44" w:rsidP="00A146EC">
            <w:pPr>
              <w:pStyle w:val="parafullout"/>
              <w:jc w:val="both"/>
              <w:rPr>
                <w:szCs w:val="22"/>
              </w:rPr>
            </w:pPr>
          </w:p>
        </w:tc>
      </w:tr>
      <w:tr w:rsidR="002E5E44" w:rsidRPr="00B13C47" w14:paraId="1BF59C71" w14:textId="77777777" w:rsidTr="00A146EC">
        <w:tc>
          <w:tcPr>
            <w:tcW w:w="1100" w:type="dxa"/>
            <w:shd w:val="clear" w:color="auto" w:fill="auto"/>
          </w:tcPr>
          <w:p w14:paraId="42834973" w14:textId="77777777" w:rsidR="002E5E44" w:rsidRPr="006B1D00" w:rsidRDefault="002E5E44" w:rsidP="00A146EC">
            <w:pPr>
              <w:pStyle w:val="parafullout"/>
              <w:jc w:val="both"/>
              <w:rPr>
                <w:b/>
                <w:bCs/>
                <w:szCs w:val="22"/>
              </w:rPr>
            </w:pPr>
            <w:r w:rsidRPr="006B1D00">
              <w:rPr>
                <w:b/>
                <w:bCs/>
                <w:szCs w:val="22"/>
              </w:rPr>
              <w:t>18.38</w:t>
            </w:r>
          </w:p>
        </w:tc>
        <w:tc>
          <w:tcPr>
            <w:tcW w:w="11800" w:type="dxa"/>
            <w:shd w:val="clear" w:color="auto" w:fill="auto"/>
          </w:tcPr>
          <w:p w14:paraId="41A59419" w14:textId="2091EF59" w:rsidR="002E5E44" w:rsidRPr="00B13C47" w:rsidRDefault="00E4376E" w:rsidP="00A146EC">
            <w:pPr>
              <w:pStyle w:val="parafullout"/>
              <w:jc w:val="both"/>
              <w:rPr>
                <w:szCs w:val="22"/>
              </w:rPr>
            </w:pPr>
            <w:r w:rsidRPr="00E4376E">
              <w:rPr>
                <w:szCs w:val="22"/>
              </w:rPr>
              <w:t>Common accounting policies should be used for the companies comprising the DLC structure.</w:t>
            </w:r>
          </w:p>
        </w:tc>
        <w:tc>
          <w:tcPr>
            <w:tcW w:w="1778" w:type="dxa"/>
            <w:shd w:val="clear" w:color="auto" w:fill="auto"/>
          </w:tcPr>
          <w:p w14:paraId="082F5C53" w14:textId="77777777" w:rsidR="002E5E44" w:rsidRPr="00B13C47" w:rsidRDefault="002E5E44" w:rsidP="00A146EC">
            <w:pPr>
              <w:pStyle w:val="parafullout"/>
              <w:jc w:val="both"/>
              <w:rPr>
                <w:szCs w:val="22"/>
              </w:rPr>
            </w:pPr>
          </w:p>
        </w:tc>
      </w:tr>
      <w:tr w:rsidR="002E5E44" w:rsidRPr="00B13C47" w14:paraId="0AA8343E" w14:textId="77777777" w:rsidTr="00A146EC">
        <w:tc>
          <w:tcPr>
            <w:tcW w:w="1100" w:type="dxa"/>
            <w:shd w:val="clear" w:color="auto" w:fill="auto"/>
          </w:tcPr>
          <w:p w14:paraId="387F6F0C" w14:textId="77777777" w:rsidR="002E5E44" w:rsidRPr="006B1D00" w:rsidRDefault="002E5E44" w:rsidP="00A146EC">
            <w:pPr>
              <w:pStyle w:val="parafullout"/>
              <w:jc w:val="both"/>
              <w:rPr>
                <w:b/>
                <w:bCs/>
                <w:szCs w:val="22"/>
              </w:rPr>
            </w:pPr>
            <w:r w:rsidRPr="006B1D00">
              <w:rPr>
                <w:b/>
                <w:bCs/>
                <w:szCs w:val="22"/>
              </w:rPr>
              <w:t>18.39</w:t>
            </w:r>
          </w:p>
        </w:tc>
        <w:tc>
          <w:tcPr>
            <w:tcW w:w="11800" w:type="dxa"/>
            <w:shd w:val="clear" w:color="auto" w:fill="auto"/>
          </w:tcPr>
          <w:p w14:paraId="0BD3EA97" w14:textId="6AEAF8E0" w:rsidR="002E5E44" w:rsidRPr="00B13C47" w:rsidRDefault="00E4376E" w:rsidP="00A146EC">
            <w:pPr>
              <w:pStyle w:val="parafullout"/>
              <w:jc w:val="both"/>
              <w:rPr>
                <w:szCs w:val="22"/>
              </w:rPr>
            </w:pPr>
            <w:r w:rsidRPr="00E4376E">
              <w:rPr>
                <w:szCs w:val="22"/>
              </w:rPr>
              <w:t xml:space="preserve">Aggregated annual financial statements must be published in accordance with IFRS for the merged DLC structure. </w:t>
            </w:r>
            <w:proofErr w:type="gramStart"/>
            <w:r w:rsidRPr="00E4376E">
              <w:rPr>
                <w:szCs w:val="22"/>
              </w:rPr>
              <w:t>In the event that</w:t>
            </w:r>
            <w:proofErr w:type="gramEnd"/>
            <w:r w:rsidRPr="00E4376E">
              <w:rPr>
                <w:szCs w:val="22"/>
              </w:rPr>
              <w:t xml:space="preserve"> the annual financial statements published for the merged DLC structure are not in accordance with IFRS, a comprehensive reconciliation to IFRS must be published and presented in Rands. Annual financial Statements for the companies comprising the DLC structure may be published as supplementary information to the aggregated accounts of the DLC structure.</w:t>
            </w:r>
          </w:p>
        </w:tc>
        <w:tc>
          <w:tcPr>
            <w:tcW w:w="1778" w:type="dxa"/>
            <w:shd w:val="clear" w:color="auto" w:fill="auto"/>
          </w:tcPr>
          <w:p w14:paraId="5BDB646B" w14:textId="77777777" w:rsidR="002E5E44" w:rsidRPr="00B13C47" w:rsidRDefault="002E5E44" w:rsidP="00A146EC">
            <w:pPr>
              <w:pStyle w:val="parafullout"/>
              <w:jc w:val="both"/>
              <w:rPr>
                <w:szCs w:val="22"/>
              </w:rPr>
            </w:pPr>
          </w:p>
        </w:tc>
      </w:tr>
      <w:tr w:rsidR="003E74CE" w:rsidRPr="00B13C47" w14:paraId="0B65B2E2" w14:textId="77777777" w:rsidTr="00A146EC">
        <w:tc>
          <w:tcPr>
            <w:tcW w:w="1100" w:type="dxa"/>
            <w:shd w:val="clear" w:color="auto" w:fill="auto"/>
          </w:tcPr>
          <w:p w14:paraId="146B2E7B" w14:textId="77777777" w:rsidR="003E74CE" w:rsidRPr="00052BFC" w:rsidRDefault="003E74CE" w:rsidP="003E74CE">
            <w:pPr>
              <w:jc w:val="both"/>
              <w:rPr>
                <w:color w:val="00B050"/>
              </w:rPr>
            </w:pPr>
            <w:r w:rsidRPr="00052BFC">
              <w:rPr>
                <w:color w:val="00B050"/>
              </w:rPr>
              <w:t>1.20</w:t>
            </w:r>
          </w:p>
          <w:p w14:paraId="6DB81C42" w14:textId="77777777" w:rsidR="003E74CE" w:rsidRPr="00B13C47" w:rsidRDefault="003E74CE" w:rsidP="00A146EC">
            <w:pPr>
              <w:pStyle w:val="parafullout"/>
              <w:jc w:val="both"/>
              <w:rPr>
                <w:szCs w:val="22"/>
              </w:rPr>
            </w:pPr>
          </w:p>
        </w:tc>
        <w:tc>
          <w:tcPr>
            <w:tcW w:w="11800" w:type="dxa"/>
            <w:shd w:val="clear" w:color="auto" w:fill="auto"/>
          </w:tcPr>
          <w:p w14:paraId="6ACE0A5A" w14:textId="77777777" w:rsidR="003E74CE" w:rsidRPr="00052BFC" w:rsidRDefault="003E74CE" w:rsidP="003E74CE">
            <w:pPr>
              <w:jc w:val="both"/>
              <w:rPr>
                <w:b/>
                <w:color w:val="00B050"/>
                <w:u w:val="single"/>
              </w:rPr>
            </w:pPr>
            <w:r w:rsidRPr="00052BFC">
              <w:rPr>
                <w:b/>
                <w:color w:val="00B050"/>
                <w:u w:val="single"/>
              </w:rPr>
              <w:t>Annual Revision of List</w:t>
            </w:r>
          </w:p>
          <w:p w14:paraId="69735AD8" w14:textId="77777777" w:rsidR="003E74CE" w:rsidRDefault="003E74CE" w:rsidP="003E74CE">
            <w:pPr>
              <w:jc w:val="both"/>
              <w:rPr>
                <w:color w:val="00B050"/>
              </w:rPr>
            </w:pPr>
            <w:r w:rsidRPr="00052BFC">
              <w:rPr>
                <w:color w:val="00B050"/>
              </w:rPr>
              <w:t xml:space="preserve">Schedule 2 </w:t>
            </w:r>
            <w:r w:rsidRPr="00052BFC">
              <w:rPr>
                <w:rFonts w:cs="Times New Roman"/>
                <w:color w:val="00B050"/>
              </w:rPr>
              <w:t>Form D1</w:t>
            </w:r>
            <w:r w:rsidRPr="00052BFC">
              <w:rPr>
                <w:color w:val="00B050"/>
              </w:rPr>
              <w:t xml:space="preserve"> declaration</w:t>
            </w:r>
          </w:p>
          <w:p w14:paraId="4B20F4C1" w14:textId="17749610" w:rsidR="003E74CE" w:rsidRPr="00B13C47" w:rsidRDefault="003E74CE" w:rsidP="00B44DBA">
            <w:pPr>
              <w:jc w:val="both"/>
            </w:pPr>
            <w:r>
              <w:rPr>
                <w:color w:val="00B050"/>
              </w:rPr>
              <w:t>Please include details of matters of</w:t>
            </w:r>
            <w:r w:rsidRPr="00052BFC">
              <w:rPr>
                <w:color w:val="00B050"/>
              </w:rPr>
              <w:t xml:space="preserve"> non-compliances during the review period.</w:t>
            </w:r>
          </w:p>
        </w:tc>
        <w:tc>
          <w:tcPr>
            <w:tcW w:w="1778" w:type="dxa"/>
            <w:shd w:val="clear" w:color="auto" w:fill="auto"/>
          </w:tcPr>
          <w:p w14:paraId="4A5A75CA" w14:textId="77777777" w:rsidR="003E74CE" w:rsidRPr="00B13C47" w:rsidRDefault="003E74CE" w:rsidP="00A146EC">
            <w:pPr>
              <w:pStyle w:val="parafullout"/>
              <w:jc w:val="both"/>
              <w:rPr>
                <w:szCs w:val="22"/>
              </w:rPr>
            </w:pPr>
          </w:p>
        </w:tc>
      </w:tr>
    </w:tbl>
    <w:p w14:paraId="71E8DA0E" w14:textId="77777777" w:rsidR="002E5E44" w:rsidRPr="00B13C47" w:rsidRDefault="002E5E44" w:rsidP="002E5E44">
      <w:pPr>
        <w:pStyle w:val="parafullout"/>
        <w:jc w:val="both"/>
        <w:rPr>
          <w:szCs w:val="22"/>
        </w:rPr>
      </w:pPr>
    </w:p>
    <w:p w14:paraId="0D023962" w14:textId="77777777" w:rsidR="002E5E44" w:rsidRPr="00B13C47" w:rsidRDefault="002E5E44" w:rsidP="002E5E44">
      <w:pPr>
        <w:jc w:val="both"/>
        <w:rPr>
          <w:rFonts w:ascii="Verdana" w:hAnsi="Verdana"/>
          <w:b/>
          <w:sz w:val="18"/>
          <w:szCs w:val="18"/>
        </w:rPr>
      </w:pPr>
      <w:r w:rsidRPr="00B13C47">
        <w:rPr>
          <w:rFonts w:ascii="Verdana" w:hAnsi="Verdana"/>
          <w:b/>
          <w:sz w:val="18"/>
          <w:szCs w:val="18"/>
        </w:rPr>
        <w:t xml:space="preserve">Refer to Form I for Accredited and Approved Exchanges (Main Board &amp; </w:t>
      </w:r>
      <w:proofErr w:type="spellStart"/>
      <w:r w:rsidRPr="00B13C47">
        <w:rPr>
          <w:rFonts w:ascii="Verdana" w:hAnsi="Verdana"/>
          <w:b/>
          <w:sz w:val="18"/>
          <w:szCs w:val="18"/>
        </w:rPr>
        <w:t>AltX</w:t>
      </w:r>
      <w:proofErr w:type="spellEnd"/>
      <w:r w:rsidRPr="00B13C47">
        <w:rPr>
          <w:rFonts w:ascii="Verdana" w:hAnsi="Verdana"/>
          <w:b/>
          <w:sz w:val="18"/>
          <w:szCs w:val="18"/>
        </w:rPr>
        <w:t>)</w:t>
      </w:r>
    </w:p>
    <w:p w14:paraId="29602677" w14:textId="77777777" w:rsidR="002E5E44" w:rsidRPr="00D30326" w:rsidRDefault="002E5E44" w:rsidP="002E5E44">
      <w:pPr>
        <w:jc w:val="both"/>
        <w:rPr>
          <w:rFonts w:ascii="Verdana" w:hAnsi="Verdana"/>
          <w:sz w:val="18"/>
          <w:szCs w:val="18"/>
        </w:rPr>
      </w:pPr>
    </w:p>
    <w:p w14:paraId="7DB52D01" w14:textId="77777777" w:rsidR="00B76EBB" w:rsidRPr="00D56147" w:rsidRDefault="00B76EBB" w:rsidP="00D30326">
      <w:pPr>
        <w:pStyle w:val="parafullout"/>
        <w:jc w:val="both"/>
        <w:rPr>
          <w:color w:val="000000"/>
          <w:szCs w:val="22"/>
        </w:rPr>
      </w:pPr>
    </w:p>
    <w:sectPr w:rsidR="00B76EBB" w:rsidRPr="00D56147" w:rsidSect="00D56147">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BE5F" w14:textId="77777777" w:rsidR="000230F8" w:rsidRDefault="000230F8">
      <w:pPr>
        <w:spacing w:line="240" w:lineRule="auto"/>
      </w:pPr>
      <w:r>
        <w:separator/>
      </w:r>
    </w:p>
  </w:endnote>
  <w:endnote w:type="continuationSeparator" w:id="0">
    <w:p w14:paraId="64AE638C" w14:textId="77777777" w:rsidR="000230F8" w:rsidRDefault="000230F8">
      <w:pPr>
        <w:spacing w:line="240" w:lineRule="auto"/>
      </w:pPr>
      <w:r>
        <w:continuationSeparator/>
      </w:r>
    </w:p>
  </w:endnote>
  <w:endnote w:type="continuationNotice" w:id="1">
    <w:p w14:paraId="2875DAF7" w14:textId="77777777" w:rsidR="000230F8" w:rsidRDefault="000230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3642" w14:textId="77777777" w:rsidR="00D56147" w:rsidRPr="00F37548" w:rsidRDefault="006D5DA5" w:rsidP="00D56147">
    <w:pPr>
      <w:pStyle w:val="Footer"/>
      <w:tabs>
        <w:tab w:val="clear" w:pos="4153"/>
        <w:tab w:val="clear" w:pos="8306"/>
        <w:tab w:val="left" w:pos="0"/>
        <w:tab w:val="center" w:pos="4819"/>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65B2" w14:textId="77777777" w:rsidR="000230F8" w:rsidRDefault="000230F8">
      <w:pPr>
        <w:spacing w:line="240" w:lineRule="auto"/>
      </w:pPr>
      <w:r>
        <w:separator/>
      </w:r>
    </w:p>
  </w:footnote>
  <w:footnote w:type="continuationSeparator" w:id="0">
    <w:p w14:paraId="5BA0681D" w14:textId="77777777" w:rsidR="000230F8" w:rsidRDefault="000230F8">
      <w:pPr>
        <w:spacing w:line="240" w:lineRule="auto"/>
      </w:pPr>
      <w:r>
        <w:continuationSeparator/>
      </w:r>
    </w:p>
  </w:footnote>
  <w:footnote w:type="continuationNotice" w:id="1">
    <w:p w14:paraId="7534F2E3" w14:textId="77777777" w:rsidR="000230F8" w:rsidRDefault="000230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821" w14:textId="77777777" w:rsidR="00D56147" w:rsidRPr="00F37548" w:rsidRDefault="006D5DA5" w:rsidP="00D56147">
    <w:pPr>
      <w:pStyle w:val="Header"/>
      <w:tabs>
        <w:tab w:val="clear" w:pos="4153"/>
        <w:tab w:val="clear" w:pos="8306"/>
        <w:tab w:val="left" w:pos="0"/>
        <w:tab w:val="center" w:pos="4819"/>
        <w:tab w:val="right" w:pos="96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A85"/>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08252555"/>
    <w:multiLevelType w:val="hybridMultilevel"/>
    <w:tmpl w:val="D4A087F0"/>
    <w:lvl w:ilvl="0" w:tplc="E2A0B8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77A83"/>
    <w:multiLevelType w:val="hybridMultilevel"/>
    <w:tmpl w:val="87F074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D37B38"/>
    <w:multiLevelType w:val="hybridMultilevel"/>
    <w:tmpl w:val="CBBA25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6" w15:restartNumberingAfterBreak="0">
    <w:nsid w:val="208D69B7"/>
    <w:multiLevelType w:val="singleLevel"/>
    <w:tmpl w:val="1248B9B8"/>
    <w:lvl w:ilvl="0">
      <w:start w:val="1"/>
      <w:numFmt w:val="bullet"/>
      <w:lvlRestart w:val="0"/>
      <w:lvlText w:val=""/>
      <w:lvlJc w:val="left"/>
      <w:pPr>
        <w:tabs>
          <w:tab w:val="num" w:pos="720"/>
        </w:tabs>
        <w:ind w:left="720" w:hanging="363"/>
      </w:pPr>
      <w:rPr>
        <w:rFonts w:ascii="Courier New" w:hAnsi="Courier New" w:cs="Courier New" w:hint="default"/>
        <w:color w:val="auto"/>
      </w:rPr>
    </w:lvl>
  </w:abstractNum>
  <w:abstractNum w:abstractNumId="7" w15:restartNumberingAfterBreak="0">
    <w:nsid w:val="20E06EF4"/>
    <w:multiLevelType w:val="hybridMultilevel"/>
    <w:tmpl w:val="1F124FB6"/>
    <w:lvl w:ilvl="0" w:tplc="1C090001">
      <w:start w:val="17"/>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6A291C"/>
    <w:multiLevelType w:val="hybridMultilevel"/>
    <w:tmpl w:val="9286A384"/>
    <w:lvl w:ilvl="0" w:tplc="874CE6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70A07"/>
    <w:multiLevelType w:val="hybridMultilevel"/>
    <w:tmpl w:val="A66ABFA4"/>
    <w:lvl w:ilvl="0" w:tplc="AC8CE938">
      <w:start w:val="1"/>
      <w:numFmt w:val="lowerRoman"/>
      <w:lvlText w:val="(%1)"/>
      <w:lvlJc w:val="left"/>
      <w:pPr>
        <w:ind w:left="765" w:hanging="720"/>
      </w:pPr>
      <w:rPr>
        <w:rFonts w:hint="default"/>
      </w:rPr>
    </w:lvl>
    <w:lvl w:ilvl="1" w:tplc="8AF8E5DA">
      <w:start w:val="1"/>
      <w:numFmt w:val="decimal"/>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7510D68"/>
    <w:multiLevelType w:val="hybridMultilevel"/>
    <w:tmpl w:val="8A3A5B14"/>
    <w:lvl w:ilvl="0" w:tplc="29FABE4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82F413E"/>
    <w:multiLevelType w:val="hybridMultilevel"/>
    <w:tmpl w:val="47503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13" w15:restartNumberingAfterBreak="0">
    <w:nsid w:val="299B69A3"/>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5"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6" w15:restartNumberingAfterBreak="0">
    <w:nsid w:val="2D217EA4"/>
    <w:multiLevelType w:val="hybridMultilevel"/>
    <w:tmpl w:val="5B9E33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8" w15:restartNumberingAfterBreak="0">
    <w:nsid w:val="34625070"/>
    <w:multiLevelType w:val="hybridMultilevel"/>
    <w:tmpl w:val="17B82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4F73378"/>
    <w:multiLevelType w:val="hybridMultilevel"/>
    <w:tmpl w:val="96FE23D4"/>
    <w:lvl w:ilvl="0" w:tplc="E2A0B8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02D0C"/>
    <w:multiLevelType w:val="hybridMultilevel"/>
    <w:tmpl w:val="DF8211FE"/>
    <w:lvl w:ilvl="0" w:tplc="A7001A2C">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AC133AA"/>
    <w:multiLevelType w:val="hybridMultilevel"/>
    <w:tmpl w:val="7996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23" w15:restartNumberingAfterBreak="0">
    <w:nsid w:val="402A3FE0"/>
    <w:multiLevelType w:val="hybridMultilevel"/>
    <w:tmpl w:val="6FFECB18"/>
    <w:lvl w:ilvl="0" w:tplc="E2A0B8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D7FD0"/>
    <w:multiLevelType w:val="hybridMultilevel"/>
    <w:tmpl w:val="562E9644"/>
    <w:lvl w:ilvl="0" w:tplc="AFF023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97D62"/>
    <w:multiLevelType w:val="hybridMultilevel"/>
    <w:tmpl w:val="BEFEA04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15:restartNumberingAfterBreak="0">
    <w:nsid w:val="4EC64859"/>
    <w:multiLevelType w:val="hybridMultilevel"/>
    <w:tmpl w:val="740C72DA"/>
    <w:lvl w:ilvl="0" w:tplc="09AED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A2B5B"/>
    <w:multiLevelType w:val="hybridMultilevel"/>
    <w:tmpl w:val="4912C4F6"/>
    <w:lvl w:ilvl="0" w:tplc="558C6C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D73C81"/>
    <w:multiLevelType w:val="hybridMultilevel"/>
    <w:tmpl w:val="AA9EE27E"/>
    <w:lvl w:ilvl="0" w:tplc="E2A0B8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962DDD"/>
    <w:multiLevelType w:val="hybridMultilevel"/>
    <w:tmpl w:val="81D424A0"/>
    <w:lvl w:ilvl="0" w:tplc="540CA7B0">
      <w:start w:val="8"/>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6B633C9"/>
    <w:multiLevelType w:val="hybridMultilevel"/>
    <w:tmpl w:val="DB90D28E"/>
    <w:lvl w:ilvl="0" w:tplc="4DB22D7A">
      <w:start w:val="1"/>
      <w:numFmt w:val="lowerRoman"/>
      <w:lvlText w:val="(%1)"/>
      <w:lvlJc w:val="left"/>
      <w:pPr>
        <w:ind w:left="720" w:hanging="360"/>
      </w:pPr>
      <w:rPr>
        <w:rFonts w:hint="default"/>
        <w:b w:val="0"/>
        <w:bCs w:val="0"/>
        <w:color w:val="00B05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74BD0"/>
    <w:multiLevelType w:val="hybridMultilevel"/>
    <w:tmpl w:val="6B6225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8291B38"/>
    <w:multiLevelType w:val="hybridMultilevel"/>
    <w:tmpl w:val="71FE7774"/>
    <w:lvl w:ilvl="0" w:tplc="B134BEF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E1A6EF7"/>
    <w:multiLevelType w:val="hybridMultilevel"/>
    <w:tmpl w:val="FFE6AE14"/>
    <w:lvl w:ilvl="0" w:tplc="C052A2F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83323422">
    <w:abstractNumId w:val="28"/>
  </w:num>
  <w:num w:numId="2" w16cid:durableId="38238701">
    <w:abstractNumId w:val="5"/>
  </w:num>
  <w:num w:numId="3" w16cid:durableId="1397318733">
    <w:abstractNumId w:val="30"/>
  </w:num>
  <w:num w:numId="4" w16cid:durableId="496262697">
    <w:abstractNumId w:val="6"/>
  </w:num>
  <w:num w:numId="5" w16cid:durableId="89475027">
    <w:abstractNumId w:val="1"/>
  </w:num>
  <w:num w:numId="6" w16cid:durableId="867527690">
    <w:abstractNumId w:val="22"/>
  </w:num>
  <w:num w:numId="7" w16cid:durableId="2056586675">
    <w:abstractNumId w:val="15"/>
  </w:num>
  <w:num w:numId="8" w16cid:durableId="1385252888">
    <w:abstractNumId w:val="14"/>
  </w:num>
  <w:num w:numId="9" w16cid:durableId="232594061">
    <w:abstractNumId w:val="17"/>
  </w:num>
  <w:num w:numId="10" w16cid:durableId="1348824476">
    <w:abstractNumId w:val="12"/>
  </w:num>
  <w:num w:numId="11" w16cid:durableId="1383746473">
    <w:abstractNumId w:val="18"/>
  </w:num>
  <w:num w:numId="12" w16cid:durableId="1238904120">
    <w:abstractNumId w:val="16"/>
  </w:num>
  <w:num w:numId="13" w16cid:durableId="1740907632">
    <w:abstractNumId w:val="33"/>
  </w:num>
  <w:num w:numId="14" w16cid:durableId="249850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87696">
    <w:abstractNumId w:val="13"/>
  </w:num>
  <w:num w:numId="16" w16cid:durableId="1188065307">
    <w:abstractNumId w:val="0"/>
  </w:num>
  <w:num w:numId="17" w16cid:durableId="94251952">
    <w:abstractNumId w:val="7"/>
  </w:num>
  <w:num w:numId="18" w16cid:durableId="840513573">
    <w:abstractNumId w:val="29"/>
  </w:num>
  <w:num w:numId="19" w16cid:durableId="331682375">
    <w:abstractNumId w:val="20"/>
  </w:num>
  <w:num w:numId="20" w16cid:durableId="1551383486">
    <w:abstractNumId w:val="3"/>
  </w:num>
  <w:num w:numId="21" w16cid:durableId="867840896">
    <w:abstractNumId w:val="21"/>
  </w:num>
  <w:num w:numId="22" w16cid:durableId="1655180005">
    <w:abstractNumId w:val="4"/>
  </w:num>
  <w:num w:numId="23" w16cid:durableId="2059355606">
    <w:abstractNumId w:val="35"/>
  </w:num>
  <w:num w:numId="24" w16cid:durableId="1001812778">
    <w:abstractNumId w:val="34"/>
  </w:num>
  <w:num w:numId="25" w16cid:durableId="1237011314">
    <w:abstractNumId w:val="31"/>
  </w:num>
  <w:num w:numId="26" w16cid:durableId="1016466703">
    <w:abstractNumId w:val="19"/>
  </w:num>
  <w:num w:numId="27" w16cid:durableId="708651131">
    <w:abstractNumId w:val="27"/>
  </w:num>
  <w:num w:numId="28" w16cid:durableId="1120228195">
    <w:abstractNumId w:val="23"/>
  </w:num>
  <w:num w:numId="29" w16cid:durableId="95369291">
    <w:abstractNumId w:val="24"/>
  </w:num>
  <w:num w:numId="30" w16cid:durableId="1309094371">
    <w:abstractNumId w:val="2"/>
  </w:num>
  <w:num w:numId="31" w16cid:durableId="1502351906">
    <w:abstractNumId w:val="8"/>
  </w:num>
  <w:num w:numId="32" w16cid:durableId="671680973">
    <w:abstractNumId w:val="11"/>
  </w:num>
  <w:num w:numId="33" w16cid:durableId="1996757106">
    <w:abstractNumId w:val="10"/>
  </w:num>
  <w:num w:numId="34" w16cid:durableId="769592776">
    <w:abstractNumId w:val="32"/>
  </w:num>
  <w:num w:numId="35" w16cid:durableId="224419891">
    <w:abstractNumId w:val="9"/>
  </w:num>
  <w:num w:numId="36" w16cid:durableId="758334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BB"/>
    <w:rsid w:val="00001121"/>
    <w:rsid w:val="00006007"/>
    <w:rsid w:val="000230F8"/>
    <w:rsid w:val="000342D9"/>
    <w:rsid w:val="00043213"/>
    <w:rsid w:val="00047242"/>
    <w:rsid w:val="00050F14"/>
    <w:rsid w:val="00051462"/>
    <w:rsid w:val="00052BFC"/>
    <w:rsid w:val="000562D2"/>
    <w:rsid w:val="00090AD9"/>
    <w:rsid w:val="000A6BB9"/>
    <w:rsid w:val="000B5311"/>
    <w:rsid w:val="000B7327"/>
    <w:rsid w:val="000C5F20"/>
    <w:rsid w:val="000C7EAA"/>
    <w:rsid w:val="000D2C0F"/>
    <w:rsid w:val="000E6559"/>
    <w:rsid w:val="000F1CE8"/>
    <w:rsid w:val="000F2519"/>
    <w:rsid w:val="000F2870"/>
    <w:rsid w:val="001210CC"/>
    <w:rsid w:val="00127DBE"/>
    <w:rsid w:val="001322DA"/>
    <w:rsid w:val="00136B2D"/>
    <w:rsid w:val="00136EE6"/>
    <w:rsid w:val="001448AE"/>
    <w:rsid w:val="00154A9D"/>
    <w:rsid w:val="001664DC"/>
    <w:rsid w:val="0016654A"/>
    <w:rsid w:val="00174A4B"/>
    <w:rsid w:val="0018135E"/>
    <w:rsid w:val="00181B5B"/>
    <w:rsid w:val="0018368A"/>
    <w:rsid w:val="00184518"/>
    <w:rsid w:val="00187369"/>
    <w:rsid w:val="00187BCC"/>
    <w:rsid w:val="001C368E"/>
    <w:rsid w:val="001E1C6F"/>
    <w:rsid w:val="001E750D"/>
    <w:rsid w:val="001E7FBD"/>
    <w:rsid w:val="001F1CA4"/>
    <w:rsid w:val="002014E2"/>
    <w:rsid w:val="00211128"/>
    <w:rsid w:val="00216E66"/>
    <w:rsid w:val="0022647E"/>
    <w:rsid w:val="002270CB"/>
    <w:rsid w:val="00233F38"/>
    <w:rsid w:val="00234F22"/>
    <w:rsid w:val="00242ACE"/>
    <w:rsid w:val="00262F20"/>
    <w:rsid w:val="002630CC"/>
    <w:rsid w:val="00265A9F"/>
    <w:rsid w:val="00267111"/>
    <w:rsid w:val="00267660"/>
    <w:rsid w:val="0027638E"/>
    <w:rsid w:val="00277555"/>
    <w:rsid w:val="0027790A"/>
    <w:rsid w:val="00293F45"/>
    <w:rsid w:val="0029765A"/>
    <w:rsid w:val="002A54DD"/>
    <w:rsid w:val="002B0F6C"/>
    <w:rsid w:val="002B7AD0"/>
    <w:rsid w:val="002E3C48"/>
    <w:rsid w:val="002E50A1"/>
    <w:rsid w:val="002E5E44"/>
    <w:rsid w:val="002E7EE6"/>
    <w:rsid w:val="003032F8"/>
    <w:rsid w:val="003123EA"/>
    <w:rsid w:val="003137A5"/>
    <w:rsid w:val="00321343"/>
    <w:rsid w:val="003444F2"/>
    <w:rsid w:val="00360222"/>
    <w:rsid w:val="003665F6"/>
    <w:rsid w:val="00367110"/>
    <w:rsid w:val="00371051"/>
    <w:rsid w:val="0037138C"/>
    <w:rsid w:val="0037222C"/>
    <w:rsid w:val="00376AF7"/>
    <w:rsid w:val="00380EFF"/>
    <w:rsid w:val="00385BDE"/>
    <w:rsid w:val="003928E8"/>
    <w:rsid w:val="003A02C1"/>
    <w:rsid w:val="003B0CA9"/>
    <w:rsid w:val="003B5FB3"/>
    <w:rsid w:val="003B7A61"/>
    <w:rsid w:val="003C26B5"/>
    <w:rsid w:val="003C612B"/>
    <w:rsid w:val="003C63B1"/>
    <w:rsid w:val="003C6B85"/>
    <w:rsid w:val="003D30E8"/>
    <w:rsid w:val="003E74CE"/>
    <w:rsid w:val="003F21B3"/>
    <w:rsid w:val="003F5F52"/>
    <w:rsid w:val="00433D7A"/>
    <w:rsid w:val="00437528"/>
    <w:rsid w:val="004605BF"/>
    <w:rsid w:val="00460F33"/>
    <w:rsid w:val="0046220A"/>
    <w:rsid w:val="004958DD"/>
    <w:rsid w:val="004A320A"/>
    <w:rsid w:val="004B1E71"/>
    <w:rsid w:val="004C4982"/>
    <w:rsid w:val="004C5F2F"/>
    <w:rsid w:val="004E3547"/>
    <w:rsid w:val="00521EE8"/>
    <w:rsid w:val="00546108"/>
    <w:rsid w:val="00564557"/>
    <w:rsid w:val="00565C61"/>
    <w:rsid w:val="00576CD1"/>
    <w:rsid w:val="00577145"/>
    <w:rsid w:val="00596F76"/>
    <w:rsid w:val="00597C53"/>
    <w:rsid w:val="005A2938"/>
    <w:rsid w:val="005B20A3"/>
    <w:rsid w:val="005B372C"/>
    <w:rsid w:val="005D0FD9"/>
    <w:rsid w:val="005D4CE9"/>
    <w:rsid w:val="005E0C51"/>
    <w:rsid w:val="005E46E6"/>
    <w:rsid w:val="005F1A9F"/>
    <w:rsid w:val="005F212D"/>
    <w:rsid w:val="005F5E19"/>
    <w:rsid w:val="00601506"/>
    <w:rsid w:val="0061314E"/>
    <w:rsid w:val="00615C49"/>
    <w:rsid w:val="0062151B"/>
    <w:rsid w:val="006344FD"/>
    <w:rsid w:val="00636326"/>
    <w:rsid w:val="00664349"/>
    <w:rsid w:val="00686F11"/>
    <w:rsid w:val="00690CFD"/>
    <w:rsid w:val="006A52B6"/>
    <w:rsid w:val="006B1380"/>
    <w:rsid w:val="006B1D00"/>
    <w:rsid w:val="006C353F"/>
    <w:rsid w:val="006C657C"/>
    <w:rsid w:val="006D12EC"/>
    <w:rsid w:val="006D3E4F"/>
    <w:rsid w:val="006D5DA5"/>
    <w:rsid w:val="006E5767"/>
    <w:rsid w:val="006E64FE"/>
    <w:rsid w:val="00706893"/>
    <w:rsid w:val="00711732"/>
    <w:rsid w:val="007332DD"/>
    <w:rsid w:val="007340E6"/>
    <w:rsid w:val="00767940"/>
    <w:rsid w:val="00791A01"/>
    <w:rsid w:val="00794D95"/>
    <w:rsid w:val="007B1EFD"/>
    <w:rsid w:val="007B694A"/>
    <w:rsid w:val="007C4B46"/>
    <w:rsid w:val="007D4820"/>
    <w:rsid w:val="007E4898"/>
    <w:rsid w:val="007E58E0"/>
    <w:rsid w:val="007E68C0"/>
    <w:rsid w:val="007F5D5F"/>
    <w:rsid w:val="00810A20"/>
    <w:rsid w:val="008162EB"/>
    <w:rsid w:val="008171FA"/>
    <w:rsid w:val="00817EA5"/>
    <w:rsid w:val="00820537"/>
    <w:rsid w:val="00844466"/>
    <w:rsid w:val="00850AA2"/>
    <w:rsid w:val="00855EEE"/>
    <w:rsid w:val="00861269"/>
    <w:rsid w:val="008651DD"/>
    <w:rsid w:val="0086771B"/>
    <w:rsid w:val="00892087"/>
    <w:rsid w:val="008922F7"/>
    <w:rsid w:val="008B05E3"/>
    <w:rsid w:val="008B3977"/>
    <w:rsid w:val="008B7F27"/>
    <w:rsid w:val="008C3D1B"/>
    <w:rsid w:val="008E0ADC"/>
    <w:rsid w:val="008F06BA"/>
    <w:rsid w:val="008F4761"/>
    <w:rsid w:val="0090152E"/>
    <w:rsid w:val="00902287"/>
    <w:rsid w:val="00903712"/>
    <w:rsid w:val="00904A47"/>
    <w:rsid w:val="00905554"/>
    <w:rsid w:val="00943C77"/>
    <w:rsid w:val="00954366"/>
    <w:rsid w:val="00954724"/>
    <w:rsid w:val="00966346"/>
    <w:rsid w:val="00974ECE"/>
    <w:rsid w:val="00980198"/>
    <w:rsid w:val="00996E0D"/>
    <w:rsid w:val="009B4C88"/>
    <w:rsid w:val="009C140B"/>
    <w:rsid w:val="009D0E63"/>
    <w:rsid w:val="009D4AF5"/>
    <w:rsid w:val="00A24672"/>
    <w:rsid w:val="00A27EAE"/>
    <w:rsid w:val="00A34855"/>
    <w:rsid w:val="00A36DB2"/>
    <w:rsid w:val="00A43C52"/>
    <w:rsid w:val="00A43D23"/>
    <w:rsid w:val="00A474CC"/>
    <w:rsid w:val="00A47F2D"/>
    <w:rsid w:val="00A83FE0"/>
    <w:rsid w:val="00A878F9"/>
    <w:rsid w:val="00A879BF"/>
    <w:rsid w:val="00A95B57"/>
    <w:rsid w:val="00AA07AA"/>
    <w:rsid w:val="00AB6CEA"/>
    <w:rsid w:val="00AB7560"/>
    <w:rsid w:val="00AC14DE"/>
    <w:rsid w:val="00AC1B59"/>
    <w:rsid w:val="00AC2D10"/>
    <w:rsid w:val="00AC66EE"/>
    <w:rsid w:val="00AD64E2"/>
    <w:rsid w:val="00AE5E18"/>
    <w:rsid w:val="00AF4F3A"/>
    <w:rsid w:val="00B02AB8"/>
    <w:rsid w:val="00B13AE9"/>
    <w:rsid w:val="00B31FBC"/>
    <w:rsid w:val="00B447C7"/>
    <w:rsid w:val="00B447DA"/>
    <w:rsid w:val="00B44DBA"/>
    <w:rsid w:val="00B47E79"/>
    <w:rsid w:val="00B7323E"/>
    <w:rsid w:val="00B76EBB"/>
    <w:rsid w:val="00B77E6D"/>
    <w:rsid w:val="00B90463"/>
    <w:rsid w:val="00B9305F"/>
    <w:rsid w:val="00BC6400"/>
    <w:rsid w:val="00BD1C91"/>
    <w:rsid w:val="00BF0ADF"/>
    <w:rsid w:val="00BF40D8"/>
    <w:rsid w:val="00C02BDF"/>
    <w:rsid w:val="00C04C25"/>
    <w:rsid w:val="00C14772"/>
    <w:rsid w:val="00C147E2"/>
    <w:rsid w:val="00C177A4"/>
    <w:rsid w:val="00C23CED"/>
    <w:rsid w:val="00C258A0"/>
    <w:rsid w:val="00C4241E"/>
    <w:rsid w:val="00C53EFB"/>
    <w:rsid w:val="00C6084E"/>
    <w:rsid w:val="00C62C65"/>
    <w:rsid w:val="00C64B3D"/>
    <w:rsid w:val="00C75D0F"/>
    <w:rsid w:val="00CA7D71"/>
    <w:rsid w:val="00CD05E5"/>
    <w:rsid w:val="00CD1675"/>
    <w:rsid w:val="00CD553D"/>
    <w:rsid w:val="00CF038A"/>
    <w:rsid w:val="00CF6F3D"/>
    <w:rsid w:val="00D04893"/>
    <w:rsid w:val="00D048AC"/>
    <w:rsid w:val="00D0775C"/>
    <w:rsid w:val="00D12D2F"/>
    <w:rsid w:val="00D232BD"/>
    <w:rsid w:val="00D30326"/>
    <w:rsid w:val="00D5039D"/>
    <w:rsid w:val="00D54E97"/>
    <w:rsid w:val="00D56147"/>
    <w:rsid w:val="00D60AE5"/>
    <w:rsid w:val="00D70677"/>
    <w:rsid w:val="00D726F7"/>
    <w:rsid w:val="00D91F03"/>
    <w:rsid w:val="00D9646F"/>
    <w:rsid w:val="00DA3BD7"/>
    <w:rsid w:val="00DB164D"/>
    <w:rsid w:val="00DB2A40"/>
    <w:rsid w:val="00DB6824"/>
    <w:rsid w:val="00DB6A7A"/>
    <w:rsid w:val="00DC66AE"/>
    <w:rsid w:val="00DC6C75"/>
    <w:rsid w:val="00DC726D"/>
    <w:rsid w:val="00DC7805"/>
    <w:rsid w:val="00DD524F"/>
    <w:rsid w:val="00DD5347"/>
    <w:rsid w:val="00DE21B0"/>
    <w:rsid w:val="00DF5AF9"/>
    <w:rsid w:val="00E10F52"/>
    <w:rsid w:val="00E22921"/>
    <w:rsid w:val="00E24382"/>
    <w:rsid w:val="00E326A2"/>
    <w:rsid w:val="00E36FAE"/>
    <w:rsid w:val="00E4376E"/>
    <w:rsid w:val="00E4646C"/>
    <w:rsid w:val="00E53742"/>
    <w:rsid w:val="00E541D1"/>
    <w:rsid w:val="00E57BDC"/>
    <w:rsid w:val="00E57DD2"/>
    <w:rsid w:val="00E658CD"/>
    <w:rsid w:val="00E755E3"/>
    <w:rsid w:val="00E8192B"/>
    <w:rsid w:val="00E92014"/>
    <w:rsid w:val="00EA17D7"/>
    <w:rsid w:val="00EA6E34"/>
    <w:rsid w:val="00EB3F09"/>
    <w:rsid w:val="00EC0FA8"/>
    <w:rsid w:val="00EC235D"/>
    <w:rsid w:val="00EC4B72"/>
    <w:rsid w:val="00EC5484"/>
    <w:rsid w:val="00ED30A3"/>
    <w:rsid w:val="00ED78F6"/>
    <w:rsid w:val="00EF7CB8"/>
    <w:rsid w:val="00F02F6C"/>
    <w:rsid w:val="00F053F0"/>
    <w:rsid w:val="00F07E3B"/>
    <w:rsid w:val="00F17A46"/>
    <w:rsid w:val="00F17E79"/>
    <w:rsid w:val="00F21D50"/>
    <w:rsid w:val="00F40209"/>
    <w:rsid w:val="00F40BAB"/>
    <w:rsid w:val="00F41783"/>
    <w:rsid w:val="00F53E79"/>
    <w:rsid w:val="00F60090"/>
    <w:rsid w:val="00F6459F"/>
    <w:rsid w:val="00F70056"/>
    <w:rsid w:val="00FA4A85"/>
    <w:rsid w:val="00FA78A5"/>
    <w:rsid w:val="00FB4FC3"/>
    <w:rsid w:val="00FB62A2"/>
    <w:rsid w:val="00FC7E89"/>
    <w:rsid w:val="00FD1D3D"/>
    <w:rsid w:val="00FD7B4A"/>
    <w:rsid w:val="00FE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380C"/>
  <w15:chartTrackingRefBased/>
  <w15:docId w15:val="{B325E65E-A849-4DA9-86C3-3FE723B0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00"/>
    <w:pPr>
      <w:spacing w:after="160" w:line="259" w:lineRule="auto"/>
    </w:pPr>
    <w:rPr>
      <w:rFonts w:asciiTheme="minorHAnsi" w:eastAsiaTheme="minorHAnsi" w:hAnsiTheme="minorHAnsi" w:cstheme="minorBidi"/>
      <w:kern w:val="2"/>
      <w:sz w:val="22"/>
      <w:szCs w:val="22"/>
      <w:lang w:val="en-ZA"/>
      <w14:ligatures w14:val="standardContextual"/>
    </w:rPr>
  </w:style>
  <w:style w:type="paragraph" w:styleId="Heading1">
    <w:name w:val="heading 1"/>
    <w:basedOn w:val="Normal"/>
    <w:next w:val="Normal"/>
    <w:link w:val="Heading1Char"/>
    <w:qFormat/>
    <w:rsid w:val="00902287"/>
    <w:pPr>
      <w:keepNext/>
      <w:spacing w:after="120"/>
      <w:outlineLvl w:val="0"/>
    </w:pPr>
    <w:rPr>
      <w:b/>
      <w:bCs/>
      <w:caps/>
      <w:kern w:val="32"/>
      <w:szCs w:val="32"/>
    </w:rPr>
  </w:style>
  <w:style w:type="paragraph" w:styleId="Heading2">
    <w:name w:val="heading 2"/>
    <w:basedOn w:val="Normal"/>
    <w:next w:val="Normal"/>
    <w:link w:val="Heading2Char"/>
    <w:semiHidden/>
    <w:rsid w:val="00902287"/>
    <w:pPr>
      <w:keepNext/>
      <w:spacing w:before="240" w:after="60"/>
      <w:outlineLvl w:val="1"/>
    </w:pPr>
    <w:rPr>
      <w:b/>
      <w:bCs/>
      <w:iCs/>
      <w:sz w:val="24"/>
      <w:szCs w:val="28"/>
    </w:rPr>
  </w:style>
  <w:style w:type="paragraph" w:styleId="Heading3">
    <w:name w:val="heading 3"/>
    <w:basedOn w:val="Normal"/>
    <w:next w:val="Normal"/>
    <w:link w:val="Heading3Char"/>
    <w:semiHidden/>
    <w:rsid w:val="00902287"/>
    <w:pPr>
      <w:keepNext/>
      <w:spacing w:before="240" w:after="60"/>
      <w:outlineLvl w:val="2"/>
    </w:pPr>
    <w:rPr>
      <w:b/>
      <w:bCs/>
      <w:szCs w:val="26"/>
    </w:rPr>
  </w:style>
  <w:style w:type="paragraph" w:styleId="Heading4">
    <w:name w:val="heading 4"/>
    <w:basedOn w:val="Normal"/>
    <w:next w:val="Normal"/>
    <w:link w:val="Heading4Char"/>
    <w:semiHidden/>
    <w:rsid w:val="00902287"/>
    <w:pPr>
      <w:keepNext/>
      <w:spacing w:before="240" w:after="60"/>
      <w:outlineLvl w:val="3"/>
    </w:pPr>
    <w:rPr>
      <w:b/>
      <w:bCs/>
      <w:szCs w:val="28"/>
    </w:rPr>
  </w:style>
  <w:style w:type="paragraph" w:styleId="Heading5">
    <w:name w:val="heading 5"/>
    <w:basedOn w:val="Normal"/>
    <w:next w:val="Normal"/>
    <w:link w:val="Heading5Char"/>
    <w:semiHidden/>
    <w:qFormat/>
    <w:rsid w:val="00902287"/>
    <w:pPr>
      <w:spacing w:before="240" w:after="60"/>
      <w:outlineLvl w:val="4"/>
    </w:pPr>
    <w:rPr>
      <w:b/>
      <w:bCs/>
      <w:iCs/>
      <w:szCs w:val="26"/>
    </w:rPr>
  </w:style>
  <w:style w:type="paragraph" w:styleId="Heading6">
    <w:name w:val="heading 6"/>
    <w:basedOn w:val="Normal"/>
    <w:next w:val="Normal"/>
    <w:link w:val="Heading6Char"/>
    <w:semiHidden/>
    <w:qFormat/>
    <w:rsid w:val="00902287"/>
    <w:pPr>
      <w:spacing w:before="240" w:after="60"/>
      <w:outlineLvl w:val="5"/>
    </w:pPr>
    <w:rPr>
      <w:b/>
      <w:bCs/>
    </w:rPr>
  </w:style>
  <w:style w:type="character" w:default="1" w:styleId="DefaultParagraphFont">
    <w:name w:val="Default Paragraph Font"/>
    <w:uiPriority w:val="1"/>
    <w:semiHidden/>
    <w:unhideWhenUsed/>
    <w:rsid w:val="006B1D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1D00"/>
  </w:style>
  <w:style w:type="paragraph" w:styleId="TOC1">
    <w:name w:val="toc 1"/>
    <w:basedOn w:val="Normal"/>
    <w:next w:val="Normal"/>
    <w:autoRedefine/>
    <w:uiPriority w:val="39"/>
    <w:rsid w:val="00902287"/>
    <w:pPr>
      <w:tabs>
        <w:tab w:val="right" w:leader="dot" w:pos="9639"/>
      </w:tabs>
      <w:spacing w:line="360" w:lineRule="auto"/>
    </w:pPr>
    <w:rPr>
      <w:rFonts w:eastAsia="Times" w:cs="Times New Roman"/>
      <w:szCs w:val="20"/>
    </w:rPr>
  </w:style>
  <w:style w:type="paragraph" w:styleId="TOCHeading">
    <w:name w:val="TOC Heading"/>
    <w:basedOn w:val="Heading1"/>
    <w:next w:val="Normal"/>
    <w:uiPriority w:val="39"/>
    <w:semiHidden/>
    <w:unhideWhenUsed/>
    <w:qFormat/>
    <w:rsid w:val="00902287"/>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Heading1Char">
    <w:name w:val="Heading 1 Char"/>
    <w:link w:val="Heading1"/>
    <w:rsid w:val="00902287"/>
    <w:rPr>
      <w:rFonts w:cs="Arial"/>
      <w:b/>
      <w:bCs/>
      <w:caps/>
      <w:kern w:val="32"/>
      <w:szCs w:val="32"/>
      <w:lang w:val="en-GB" w:eastAsia="en-US"/>
    </w:rPr>
  </w:style>
  <w:style w:type="character" w:customStyle="1" w:styleId="Heading2Char">
    <w:name w:val="Heading 2 Char"/>
    <w:link w:val="Heading2"/>
    <w:semiHidden/>
    <w:rsid w:val="00902287"/>
    <w:rPr>
      <w:rFonts w:cs="Arial"/>
      <w:b/>
      <w:bCs/>
      <w:iCs/>
      <w:sz w:val="24"/>
      <w:szCs w:val="28"/>
      <w:lang w:val="en-GB" w:eastAsia="en-US"/>
    </w:rPr>
  </w:style>
  <w:style w:type="character" w:customStyle="1" w:styleId="Heading3Char">
    <w:name w:val="Heading 3 Char"/>
    <w:link w:val="Heading3"/>
    <w:semiHidden/>
    <w:rsid w:val="00902287"/>
    <w:rPr>
      <w:rFonts w:cs="Arial"/>
      <w:b/>
      <w:bCs/>
      <w:sz w:val="22"/>
      <w:szCs w:val="26"/>
      <w:lang w:val="en-GB" w:eastAsia="en-US"/>
    </w:rPr>
  </w:style>
  <w:style w:type="character" w:customStyle="1" w:styleId="Heading4Char">
    <w:name w:val="Heading 4 Char"/>
    <w:link w:val="Heading4"/>
    <w:semiHidden/>
    <w:rsid w:val="00902287"/>
    <w:rPr>
      <w:rFonts w:cs="Arial"/>
      <w:b/>
      <w:bCs/>
      <w:sz w:val="22"/>
      <w:szCs w:val="28"/>
      <w:lang w:val="en-GB" w:eastAsia="en-US"/>
    </w:rPr>
  </w:style>
  <w:style w:type="character" w:customStyle="1" w:styleId="Heading5Char">
    <w:name w:val="Heading 5 Char"/>
    <w:link w:val="Heading5"/>
    <w:semiHidden/>
    <w:rsid w:val="00902287"/>
    <w:rPr>
      <w:rFonts w:cs="Arial"/>
      <w:b/>
      <w:bCs/>
      <w:iCs/>
      <w:sz w:val="22"/>
      <w:szCs w:val="26"/>
      <w:lang w:val="en-GB" w:eastAsia="en-US"/>
    </w:rPr>
  </w:style>
  <w:style w:type="character" w:customStyle="1" w:styleId="Heading6Char">
    <w:name w:val="Heading 6 Char"/>
    <w:link w:val="Heading6"/>
    <w:semiHidden/>
    <w:rsid w:val="00902287"/>
    <w:rPr>
      <w:rFonts w:cs="Arial"/>
      <w:b/>
      <w:bCs/>
      <w:sz w:val="22"/>
      <w:szCs w:val="22"/>
      <w:lang w:val="en-GB" w:eastAsia="en-US"/>
    </w:rPr>
  </w:style>
  <w:style w:type="character" w:styleId="Hyperlink">
    <w:name w:val="Hyperlink"/>
    <w:uiPriority w:val="99"/>
    <w:unhideWhenUsed/>
    <w:rsid w:val="00902287"/>
    <w:rPr>
      <w:color w:val="0000FF"/>
      <w:u w:val="single"/>
    </w:rPr>
  </w:style>
  <w:style w:type="paragraph" w:customStyle="1" w:styleId="AutoEnding">
    <w:name w:val="AutoEnding"/>
    <w:basedOn w:val="Normal"/>
    <w:next w:val="Normal"/>
    <w:link w:val="AutoEndingChar"/>
    <w:rsid w:val="00902287"/>
    <w:pPr>
      <w:spacing w:line="240" w:lineRule="auto"/>
    </w:pPr>
    <w:rPr>
      <w:rFonts w:ascii="Arial" w:hAnsi="Arial"/>
    </w:rPr>
  </w:style>
  <w:style w:type="character" w:customStyle="1" w:styleId="AutoEndingChar">
    <w:name w:val="AutoEnding Char"/>
    <w:link w:val="AutoEnding"/>
    <w:rsid w:val="00902287"/>
    <w:rPr>
      <w:rFonts w:ascii="Arial" w:hAnsi="Arial" w:cs="Arial"/>
      <w:szCs w:val="24"/>
      <w:lang w:val="en-GB" w:eastAsia="en-US"/>
    </w:rPr>
  </w:style>
  <w:style w:type="paragraph" w:styleId="Header">
    <w:name w:val="header"/>
    <w:basedOn w:val="Normal"/>
    <w:link w:val="HeaderChar"/>
    <w:rsid w:val="00B76EBB"/>
    <w:pPr>
      <w:tabs>
        <w:tab w:val="center" w:pos="4153"/>
        <w:tab w:val="right" w:pos="8306"/>
      </w:tabs>
    </w:pPr>
    <w:rPr>
      <w:sz w:val="16"/>
    </w:rPr>
  </w:style>
  <w:style w:type="character" w:customStyle="1" w:styleId="HeaderChar">
    <w:name w:val="Header Char"/>
    <w:link w:val="Header"/>
    <w:rsid w:val="00B76EBB"/>
    <w:rPr>
      <w:rFonts w:ascii="Arial" w:hAnsi="Arial" w:cs="Arial"/>
      <w:sz w:val="16"/>
      <w:szCs w:val="24"/>
      <w:lang w:val="en-GB" w:eastAsia="en-US"/>
    </w:rPr>
  </w:style>
  <w:style w:type="paragraph" w:styleId="Footer">
    <w:name w:val="footer"/>
    <w:basedOn w:val="Normal"/>
    <w:link w:val="FooterChar"/>
    <w:rsid w:val="00B76EBB"/>
    <w:pPr>
      <w:tabs>
        <w:tab w:val="center" w:pos="4153"/>
        <w:tab w:val="right" w:pos="8306"/>
      </w:tabs>
    </w:pPr>
    <w:rPr>
      <w:sz w:val="16"/>
    </w:rPr>
  </w:style>
  <w:style w:type="character" w:customStyle="1" w:styleId="FooterChar">
    <w:name w:val="Footer Char"/>
    <w:link w:val="Footer"/>
    <w:rsid w:val="00B76EBB"/>
    <w:rPr>
      <w:rFonts w:ascii="Arial" w:hAnsi="Arial" w:cs="Arial"/>
      <w:sz w:val="16"/>
      <w:szCs w:val="24"/>
      <w:lang w:val="en-GB" w:eastAsia="en-US"/>
    </w:rPr>
  </w:style>
  <w:style w:type="paragraph" w:customStyle="1" w:styleId="parafullout">
    <w:name w:val="parafullout"/>
    <w:basedOn w:val="Normal"/>
    <w:rsid w:val="00B76EBB"/>
    <w:pPr>
      <w:widowControl w:val="0"/>
      <w:spacing w:before="120"/>
    </w:pPr>
    <w:rPr>
      <w:szCs w:val="20"/>
    </w:rPr>
  </w:style>
  <w:style w:type="table" w:styleId="TableGrid">
    <w:name w:val="Table Grid"/>
    <w:basedOn w:val="TableNormal"/>
    <w:uiPriority w:val="39"/>
    <w:rsid w:val="00B76E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rsid w:val="00A474CC"/>
    <w:rPr>
      <w:b/>
      <w:bCs/>
      <w:smallCaps/>
      <w:color w:val="C0504D"/>
      <w:spacing w:val="5"/>
      <w:u w:val="single"/>
    </w:rPr>
  </w:style>
  <w:style w:type="paragraph" w:styleId="BalloonText">
    <w:name w:val="Balloon Text"/>
    <w:basedOn w:val="Normal"/>
    <w:link w:val="BalloonTextChar"/>
    <w:uiPriority w:val="99"/>
    <w:semiHidden/>
    <w:unhideWhenUsed/>
    <w:rsid w:val="00ED78F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D78F6"/>
    <w:rPr>
      <w:rFonts w:ascii="Tahoma" w:eastAsia="Calibri" w:hAnsi="Tahoma" w:cs="Tahoma"/>
      <w:sz w:val="16"/>
      <w:szCs w:val="16"/>
      <w:lang w:val="en-US" w:eastAsia="en-US"/>
    </w:rPr>
  </w:style>
  <w:style w:type="paragraph" w:styleId="ListParagraph">
    <w:name w:val="List Paragraph"/>
    <w:basedOn w:val="Normal"/>
    <w:uiPriority w:val="34"/>
    <w:qFormat/>
    <w:rsid w:val="00902287"/>
    <w:pPr>
      <w:ind w:left="720"/>
      <w:contextualSpacing/>
    </w:pPr>
  </w:style>
  <w:style w:type="paragraph" w:customStyle="1" w:styleId="Default">
    <w:name w:val="Default"/>
    <w:rsid w:val="00A95B57"/>
    <w:pPr>
      <w:autoSpaceDE w:val="0"/>
      <w:autoSpaceDN w:val="0"/>
      <w:adjustRightInd w:val="0"/>
    </w:pPr>
    <w:rPr>
      <w:rFonts w:cs="Calibri"/>
      <w:color w:val="000000"/>
      <w:sz w:val="24"/>
      <w:szCs w:val="24"/>
      <w:lang w:val="en-ZA" w:eastAsia="en-ZA"/>
    </w:rPr>
  </w:style>
  <w:style w:type="paragraph" w:styleId="Revision">
    <w:name w:val="Revision"/>
    <w:hidden/>
    <w:uiPriority w:val="99"/>
    <w:semiHidden/>
    <w:rsid w:val="00C147E2"/>
    <w:rPr>
      <w:rFonts w:cs="Arial"/>
      <w:szCs w:val="24"/>
      <w:lang w:val="en-GB"/>
    </w:rPr>
  </w:style>
  <w:style w:type="character" w:styleId="CommentReference">
    <w:name w:val="annotation reference"/>
    <w:basedOn w:val="DefaultParagraphFont"/>
    <w:uiPriority w:val="99"/>
    <w:semiHidden/>
    <w:unhideWhenUsed/>
    <w:rsid w:val="00A36DB2"/>
    <w:rPr>
      <w:sz w:val="16"/>
      <w:szCs w:val="16"/>
    </w:rPr>
  </w:style>
  <w:style w:type="paragraph" w:styleId="CommentText">
    <w:name w:val="annotation text"/>
    <w:basedOn w:val="Normal"/>
    <w:link w:val="CommentTextChar"/>
    <w:uiPriority w:val="99"/>
    <w:unhideWhenUsed/>
    <w:rsid w:val="00A36DB2"/>
    <w:pPr>
      <w:spacing w:line="240" w:lineRule="auto"/>
    </w:pPr>
    <w:rPr>
      <w:sz w:val="20"/>
      <w:szCs w:val="20"/>
    </w:rPr>
  </w:style>
  <w:style w:type="character" w:customStyle="1" w:styleId="CommentTextChar">
    <w:name w:val="Comment Text Char"/>
    <w:basedOn w:val="DefaultParagraphFont"/>
    <w:link w:val="CommentText"/>
    <w:uiPriority w:val="99"/>
    <w:rsid w:val="00A36DB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36DB2"/>
    <w:rPr>
      <w:b/>
      <w:bCs/>
    </w:rPr>
  </w:style>
  <w:style w:type="character" w:customStyle="1" w:styleId="CommentSubjectChar">
    <w:name w:val="Comment Subject Char"/>
    <w:basedOn w:val="CommentTextChar"/>
    <w:link w:val="CommentSubject"/>
    <w:uiPriority w:val="99"/>
    <w:semiHidden/>
    <w:rsid w:val="00A36DB2"/>
    <w:rPr>
      <w:rFonts w:asciiTheme="minorHAnsi" w:eastAsiaTheme="minorHAnsi" w:hAnsiTheme="minorHAnsi" w:cstheme="minorBidi"/>
      <w:b/>
      <w:bCs/>
    </w:rPr>
  </w:style>
  <w:style w:type="paragraph" w:customStyle="1" w:styleId="tabletext">
    <w:name w:val="tabletext"/>
    <w:basedOn w:val="Normal"/>
    <w:rsid w:val="000F2870"/>
    <w:pPr>
      <w:widowControl w:val="0"/>
      <w:spacing w:after="0" w:line="240" w:lineRule="auto"/>
    </w:pPr>
    <w:rPr>
      <w:rFonts w:ascii="Verdana" w:eastAsia="Times New Roman" w:hAnsi="Verdana" w:cs="Times New Roman"/>
      <w:kern w:val="0"/>
      <w:sz w:val="16"/>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7090">
      <w:bodyDiv w:val="1"/>
      <w:marLeft w:val="0"/>
      <w:marRight w:val="0"/>
      <w:marTop w:val="0"/>
      <w:marBottom w:val="0"/>
      <w:divBdr>
        <w:top w:val="none" w:sz="0" w:space="0" w:color="auto"/>
        <w:left w:val="none" w:sz="0" w:space="0" w:color="auto"/>
        <w:bottom w:val="none" w:sz="0" w:space="0" w:color="auto"/>
        <w:right w:val="none" w:sz="0" w:space="0" w:color="auto"/>
      </w:divBdr>
    </w:div>
    <w:div w:id="585924570">
      <w:bodyDiv w:val="1"/>
      <w:marLeft w:val="0"/>
      <w:marRight w:val="0"/>
      <w:marTop w:val="0"/>
      <w:marBottom w:val="0"/>
      <w:divBdr>
        <w:top w:val="none" w:sz="0" w:space="0" w:color="auto"/>
        <w:left w:val="none" w:sz="0" w:space="0" w:color="auto"/>
        <w:bottom w:val="none" w:sz="0" w:space="0" w:color="auto"/>
        <w:right w:val="none" w:sz="0" w:space="0" w:color="auto"/>
      </w:divBdr>
    </w:div>
    <w:div w:id="776875149">
      <w:bodyDiv w:val="1"/>
      <w:marLeft w:val="0"/>
      <w:marRight w:val="0"/>
      <w:marTop w:val="0"/>
      <w:marBottom w:val="0"/>
      <w:divBdr>
        <w:top w:val="none" w:sz="0" w:space="0" w:color="auto"/>
        <w:left w:val="none" w:sz="0" w:space="0" w:color="auto"/>
        <w:bottom w:val="none" w:sz="0" w:space="0" w:color="auto"/>
        <w:right w:val="none" w:sz="0" w:space="0" w:color="auto"/>
      </w:divBdr>
    </w:div>
    <w:div w:id="1384135243">
      <w:bodyDiv w:val="1"/>
      <w:marLeft w:val="0"/>
      <w:marRight w:val="0"/>
      <w:marTop w:val="0"/>
      <w:marBottom w:val="0"/>
      <w:divBdr>
        <w:top w:val="none" w:sz="0" w:space="0" w:color="auto"/>
        <w:left w:val="none" w:sz="0" w:space="0" w:color="auto"/>
        <w:bottom w:val="none" w:sz="0" w:space="0" w:color="auto"/>
        <w:right w:val="none" w:sz="0" w:space="0" w:color="auto"/>
      </w:divBdr>
    </w:div>
    <w:div w:id="19685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3c64bc32c06793701baa51dc1c977c6b">
  <xsd:schema xmlns:xsd="http://www.w3.org/2001/XMLSchema" xmlns:xs="http://www.w3.org/2001/XMLSchema" xmlns:p="http://schemas.microsoft.com/office/2006/metadata/properties" xmlns:ns2="a5d7cc70-31c1-4b2e-9a12-faea9898ee50" targetNamespace="http://schemas.microsoft.com/office/2006/metadata/properties" ma:root="true" ma:fieldsID="efe4c13202f55ba1cdbde357a287366e"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ma:internalName="JSEDisplayPriorit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EFFE8-6FE1-4C2B-B027-913577102602}">
  <ds:schemaRefs>
    <ds:schemaRef ds:uri="http://schemas.microsoft.com/office/2006/metadata/properties"/>
    <ds:schemaRef ds:uri="http://schemas.microsoft.com/office/infopath/2007/PartnerControls"/>
    <ds:schemaRef ds:uri="a5d7cc70-31c1-4b2e-9a12-faea9898ee50"/>
  </ds:schemaRefs>
</ds:datastoreItem>
</file>

<file path=customXml/itemProps2.xml><?xml version="1.0" encoding="utf-8"?>
<ds:datastoreItem xmlns:ds="http://schemas.openxmlformats.org/officeDocument/2006/customXml" ds:itemID="{FF7CB207-057A-49F6-A21A-58E3DCF69E2A}">
  <ds:schemaRefs>
    <ds:schemaRef ds:uri="http://schemas.openxmlformats.org/officeDocument/2006/bibliography"/>
  </ds:schemaRefs>
</ds:datastoreItem>
</file>

<file path=customXml/itemProps3.xml><?xml version="1.0" encoding="utf-8"?>
<ds:datastoreItem xmlns:ds="http://schemas.openxmlformats.org/officeDocument/2006/customXml" ds:itemID="{3A08FFF0-BFBD-42E5-8F29-B0749345BB10}">
  <ds:schemaRefs>
    <ds:schemaRef ds:uri="http://schemas.microsoft.com/sharepoint/v3/contenttype/forms"/>
  </ds:schemaRefs>
</ds:datastoreItem>
</file>

<file path=customXml/itemProps4.xml><?xml version="1.0" encoding="utf-8"?>
<ds:datastoreItem xmlns:ds="http://schemas.openxmlformats.org/officeDocument/2006/customXml" ds:itemID="{CB6E4FF3-B39E-47DC-A628-B55F0583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Annual Report Questionnaire</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Questionnaire</dc:title>
  <dc:subject/>
  <dc:creator>siphomh@jse.co.za</dc:creator>
  <cp:keywords/>
  <cp:lastModifiedBy>Johanna van der Merwe</cp:lastModifiedBy>
  <cp:revision>6</cp:revision>
  <cp:lastPrinted>2023-06-26T06:56:00Z</cp:lastPrinted>
  <dcterms:created xsi:type="dcterms:W3CDTF">2023-06-23T14:28:00Z</dcterms:created>
  <dcterms:modified xsi:type="dcterms:W3CDTF">2023-06-26T06:56:00Z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y fmtid="{D5CDD505-2E9C-101B-9397-08002B2CF9AE}" pid="4" name="JSEDisplayPriority">
    <vt:lpwstr/>
  </property>
  <property fmtid="{D5CDD505-2E9C-101B-9397-08002B2CF9AE}" pid="5" name="j50c28d78dcf4727baa6c3ad504fae7e">
    <vt:lpwstr>Issuer Regulation|99067b85-c558-44a1-b781-11281df7a622</vt:lpwstr>
  </property>
  <property fmtid="{D5CDD505-2E9C-101B-9397-08002B2CF9AE}" pid="6" name="JSEKeywords">
    <vt:lpwstr/>
  </property>
  <property fmtid="{D5CDD505-2E9C-101B-9397-08002B2CF9AE}" pid="7" name="JSEDescription">
    <vt:lpwstr/>
  </property>
  <property fmtid="{D5CDD505-2E9C-101B-9397-08002B2CF9AE}" pid="8" name="TaxCatchAll">
    <vt:lpwstr>15;#</vt:lpwstr>
  </property>
  <property fmtid="{D5CDD505-2E9C-101B-9397-08002B2CF9AE}" pid="9" name="JSEDate">
    <vt:lpwstr/>
  </property>
  <property fmtid="{D5CDD505-2E9C-101B-9397-08002B2CF9AE}" pid="10" name="MSIP_Label_66d8a90e-c522-4829-9625-db8c70f8b095_Enabled">
    <vt:lpwstr>true</vt:lpwstr>
  </property>
  <property fmtid="{D5CDD505-2E9C-101B-9397-08002B2CF9AE}" pid="11" name="MSIP_Label_66d8a90e-c522-4829-9625-db8c70f8b095_SetDate">
    <vt:lpwstr>2022-08-30T07:41:50Z</vt:lpwstr>
  </property>
  <property fmtid="{D5CDD505-2E9C-101B-9397-08002B2CF9AE}" pid="12" name="MSIP_Label_66d8a90e-c522-4829-9625-db8c70f8b095_Method">
    <vt:lpwstr>Privileged</vt:lpwstr>
  </property>
  <property fmtid="{D5CDD505-2E9C-101B-9397-08002B2CF9AE}" pid="13" name="MSIP_Label_66d8a90e-c522-4829-9625-db8c70f8b095_Name">
    <vt:lpwstr>Public</vt:lpwstr>
  </property>
  <property fmtid="{D5CDD505-2E9C-101B-9397-08002B2CF9AE}" pid="14" name="MSIP_Label_66d8a90e-c522-4829-9625-db8c70f8b095_SiteId">
    <vt:lpwstr>cffa6640-7572-4f05-9c64-cd88068c19d4</vt:lpwstr>
  </property>
  <property fmtid="{D5CDD505-2E9C-101B-9397-08002B2CF9AE}" pid="15" name="MSIP_Label_66d8a90e-c522-4829-9625-db8c70f8b095_ActionId">
    <vt:lpwstr>983345be-277f-4654-ae32-bf92764598ae</vt:lpwstr>
  </property>
  <property fmtid="{D5CDD505-2E9C-101B-9397-08002B2CF9AE}" pid="16" name="MSIP_Label_66d8a90e-c522-4829-9625-db8c70f8b095_ContentBits">
    <vt:lpwstr>0</vt:lpwstr>
  </property>
  <property fmtid="{D5CDD505-2E9C-101B-9397-08002B2CF9AE}" pid="17" name="MSIP_Label_5b6b5401-4005-4b55-903a-94b31c76c9e8_Enabled">
    <vt:lpwstr>true</vt:lpwstr>
  </property>
  <property fmtid="{D5CDD505-2E9C-101B-9397-08002B2CF9AE}" pid="18" name="MSIP_Label_5b6b5401-4005-4b55-903a-94b31c76c9e8_SetDate">
    <vt:lpwstr>2023-04-14T10:16:38Z</vt:lpwstr>
  </property>
  <property fmtid="{D5CDD505-2E9C-101B-9397-08002B2CF9AE}" pid="19" name="MSIP_Label_5b6b5401-4005-4b55-903a-94b31c76c9e8_Method">
    <vt:lpwstr>Standard</vt:lpwstr>
  </property>
  <property fmtid="{D5CDD505-2E9C-101B-9397-08002B2CF9AE}" pid="20" name="MSIP_Label_5b6b5401-4005-4b55-903a-94b31c76c9e8_Name">
    <vt:lpwstr>Public</vt:lpwstr>
  </property>
  <property fmtid="{D5CDD505-2E9C-101B-9397-08002B2CF9AE}" pid="21" name="MSIP_Label_5b6b5401-4005-4b55-903a-94b31c76c9e8_SiteId">
    <vt:lpwstr>711edbae-ad21-46d2-a3e1-0a1c135396de</vt:lpwstr>
  </property>
  <property fmtid="{D5CDD505-2E9C-101B-9397-08002B2CF9AE}" pid="22" name="MSIP_Label_5b6b5401-4005-4b55-903a-94b31c76c9e8_ActionId">
    <vt:lpwstr>3297a461-b9cd-4de0-9fec-b616c8538f02</vt:lpwstr>
  </property>
  <property fmtid="{D5CDD505-2E9C-101B-9397-08002B2CF9AE}" pid="23" name="MSIP_Label_5b6b5401-4005-4b55-903a-94b31c76c9e8_ContentBits">
    <vt:lpwstr>0</vt:lpwstr>
  </property>
</Properties>
</file>