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3887"/>
      </w:tblGrid>
      <w:tr w:rsidR="00763B2F" w:rsidRPr="004870BB" w14:paraId="19F176CF" w14:textId="77777777" w:rsidTr="42ABBDCE">
        <w:tc>
          <w:tcPr>
            <w:tcW w:w="13887" w:type="dxa"/>
            <w:shd w:val="clear" w:color="auto" w:fill="92D050"/>
          </w:tcPr>
          <w:p w14:paraId="4338F426" w14:textId="61DDE023" w:rsidR="000C53D6" w:rsidRPr="004870BB" w:rsidRDefault="005C2037" w:rsidP="42ABBDCE">
            <w:pPr>
              <w:jc w:val="cente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 xml:space="preserve">Annual Financial Statements </w:t>
            </w:r>
          </w:p>
          <w:p w14:paraId="01C5BD07" w14:textId="77777777" w:rsidR="007E0E7E" w:rsidRPr="004870BB" w:rsidRDefault="007E0E7E" w:rsidP="42ABBDCE">
            <w:pPr>
              <w:jc w:val="cente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January 2026</w:t>
            </w:r>
          </w:p>
        </w:tc>
      </w:tr>
    </w:tbl>
    <w:p w14:paraId="5F679EB1" w14:textId="77777777" w:rsidR="007E0E7E" w:rsidRPr="004870BB" w:rsidRDefault="007E0E7E" w:rsidP="42ABBDCE">
      <w:pPr>
        <w:jc w:val="center"/>
        <w:rPr>
          <w:rFonts w:asciiTheme="minorHAnsi" w:eastAsiaTheme="minorEastAsia" w:hAnsiTheme="minorHAnsi" w:cstheme="minorBidi"/>
          <w:b/>
          <w:bCs/>
          <w:sz w:val="22"/>
          <w:szCs w:val="22"/>
        </w:rPr>
      </w:pPr>
    </w:p>
    <w:p w14:paraId="253FE5B0" w14:textId="41913805" w:rsidR="007E0E7E" w:rsidRPr="004870BB" w:rsidRDefault="007769B8" w:rsidP="42ABBDCE">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Issuer Name:</w:t>
      </w:r>
      <w:r w:rsidR="000E2736" w:rsidRPr="42ABBDCE">
        <w:rPr>
          <w:rFonts w:asciiTheme="minorHAnsi" w:eastAsiaTheme="minorEastAsia" w:hAnsiTheme="minorHAnsi" w:cstheme="minorBidi"/>
          <w:b/>
          <w:bCs/>
          <w:sz w:val="22"/>
          <w:szCs w:val="22"/>
        </w:rPr>
        <w:t xml:space="preserve"> [………………………….]</w:t>
      </w:r>
    </w:p>
    <w:p w14:paraId="378342FC" w14:textId="77777777" w:rsidR="007769B8" w:rsidRPr="004870BB" w:rsidRDefault="007769B8" w:rsidP="42ABBDCE">
      <w:pPr>
        <w:rPr>
          <w:rFonts w:asciiTheme="minorHAnsi" w:eastAsiaTheme="minorEastAsia" w:hAnsiTheme="minorHAnsi" w:cstheme="minorBidi"/>
          <w:b/>
          <w:bCs/>
          <w:sz w:val="22"/>
          <w:szCs w:val="22"/>
        </w:rPr>
      </w:pPr>
    </w:p>
    <w:p w14:paraId="3A988E05" w14:textId="17836A15" w:rsidR="007769B8" w:rsidRPr="004870BB" w:rsidRDefault="000E2736" w:rsidP="42ABBDCE">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Financial</w:t>
      </w:r>
      <w:r w:rsidR="007769B8" w:rsidRPr="42ABBDCE">
        <w:rPr>
          <w:rFonts w:asciiTheme="minorHAnsi" w:eastAsiaTheme="minorEastAsia" w:hAnsiTheme="minorHAnsi" w:cstheme="minorBidi"/>
          <w:b/>
          <w:bCs/>
          <w:sz w:val="22"/>
          <w:szCs w:val="22"/>
        </w:rPr>
        <w:t xml:space="preserve"> Year: </w:t>
      </w:r>
      <w:r w:rsidRPr="42ABBDCE">
        <w:rPr>
          <w:rFonts w:asciiTheme="minorHAnsi" w:eastAsiaTheme="minorEastAsia" w:hAnsiTheme="minorHAnsi" w:cstheme="minorBidi"/>
          <w:b/>
          <w:bCs/>
          <w:sz w:val="22"/>
          <w:szCs w:val="22"/>
        </w:rPr>
        <w:t>[……………….]</w:t>
      </w:r>
    </w:p>
    <w:p w14:paraId="2E2D5B03" w14:textId="77777777" w:rsidR="007769B8" w:rsidRPr="004870BB" w:rsidRDefault="007769B8" w:rsidP="42ABBDCE">
      <w:pPr>
        <w:jc w:val="center"/>
        <w:rPr>
          <w:rFonts w:asciiTheme="minorHAnsi" w:eastAsiaTheme="minorEastAsia" w:hAnsiTheme="minorHAnsi" w:cstheme="minorBidi"/>
          <w:b/>
          <w:bCs/>
          <w:sz w:val="22"/>
          <w:szCs w:val="22"/>
        </w:rPr>
      </w:pPr>
    </w:p>
    <w:p w14:paraId="08F94394" w14:textId="77777777" w:rsidR="007769B8" w:rsidRPr="004870BB" w:rsidRDefault="007769B8" w:rsidP="42ABBDCE">
      <w:pPr>
        <w:jc w:val="center"/>
        <w:rPr>
          <w:rFonts w:asciiTheme="minorHAnsi" w:eastAsiaTheme="minorEastAsia" w:hAnsiTheme="minorHAnsi" w:cstheme="minorBidi"/>
          <w:b/>
          <w:bCs/>
          <w:sz w:val="22"/>
          <w:szCs w:val="22"/>
        </w:rPr>
      </w:pPr>
    </w:p>
    <w:tbl>
      <w:tblPr>
        <w:tblStyle w:val="TableGrid"/>
        <w:tblW w:w="13892" w:type="dxa"/>
        <w:tblInd w:w="-5" w:type="dxa"/>
        <w:tblLook w:val="01E0" w:firstRow="1" w:lastRow="1" w:firstColumn="1" w:lastColumn="1" w:noHBand="0" w:noVBand="0"/>
      </w:tblPr>
      <w:tblGrid>
        <w:gridCol w:w="567"/>
        <w:gridCol w:w="3838"/>
        <w:gridCol w:w="3533"/>
        <w:gridCol w:w="5954"/>
      </w:tblGrid>
      <w:tr w:rsidR="00763B2F" w:rsidRPr="004870BB" w14:paraId="4F1FBC6F" w14:textId="269F3CD3" w:rsidTr="42ABBDCE">
        <w:tc>
          <w:tcPr>
            <w:tcW w:w="567" w:type="dxa"/>
            <w:shd w:val="clear" w:color="auto" w:fill="BFBFBF" w:themeFill="background1" w:themeFillShade="BF"/>
          </w:tcPr>
          <w:p w14:paraId="1F5B4E4E" w14:textId="77777777" w:rsidR="00636A93" w:rsidRPr="004870BB" w:rsidRDefault="00636A93" w:rsidP="42ABBDCE">
            <w:pPr>
              <w:jc w:val="center"/>
              <w:rPr>
                <w:rFonts w:asciiTheme="minorHAnsi" w:eastAsiaTheme="minorEastAsia" w:hAnsiTheme="minorHAnsi" w:cstheme="minorBidi"/>
                <w:b/>
                <w:bCs/>
                <w:sz w:val="22"/>
                <w:szCs w:val="22"/>
              </w:rPr>
            </w:pPr>
          </w:p>
        </w:tc>
        <w:tc>
          <w:tcPr>
            <w:tcW w:w="3838" w:type="dxa"/>
            <w:shd w:val="clear" w:color="auto" w:fill="BFBFBF" w:themeFill="background1" w:themeFillShade="BF"/>
          </w:tcPr>
          <w:p w14:paraId="0CD7D71D" w14:textId="77777777" w:rsidR="00636A93" w:rsidRPr="004870BB" w:rsidRDefault="00636A93" w:rsidP="42ABBDCE">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LR Ref</w:t>
            </w:r>
          </w:p>
        </w:tc>
        <w:tc>
          <w:tcPr>
            <w:tcW w:w="3533" w:type="dxa"/>
            <w:shd w:val="clear" w:color="auto" w:fill="BFBFBF" w:themeFill="background1" w:themeFillShade="BF"/>
          </w:tcPr>
          <w:p w14:paraId="4F641FAB" w14:textId="77777777" w:rsidR="00636A93" w:rsidRPr="004870BB" w:rsidRDefault="00636A93" w:rsidP="42ABBDCE">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Paragraph reference where this is addressed or reason why not addressed</w:t>
            </w:r>
          </w:p>
        </w:tc>
        <w:tc>
          <w:tcPr>
            <w:tcW w:w="5954" w:type="dxa"/>
            <w:shd w:val="clear" w:color="auto" w:fill="BFBFBF" w:themeFill="background1" w:themeFillShade="BF"/>
          </w:tcPr>
          <w:p w14:paraId="45ED4098" w14:textId="19665978" w:rsidR="00636A93" w:rsidRPr="004870BB" w:rsidRDefault="007B66A7" w:rsidP="42ABBDCE">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 xml:space="preserve">LR Extracts </w:t>
            </w:r>
          </w:p>
        </w:tc>
      </w:tr>
      <w:tr w:rsidR="00763B2F" w:rsidRPr="004870BB" w:rsidDel="004E375D" w14:paraId="1FD35EFB" w14:textId="41ABB784" w:rsidTr="42ABBDCE">
        <w:tc>
          <w:tcPr>
            <w:tcW w:w="567" w:type="dxa"/>
          </w:tcPr>
          <w:p w14:paraId="2C880FCD" w14:textId="77777777" w:rsidR="00636A93" w:rsidRPr="004870BB" w:rsidRDefault="00636A93" w:rsidP="42ABBDCE">
            <w:pPr>
              <w:ind w:left="360"/>
              <w:rPr>
                <w:rFonts w:asciiTheme="minorHAnsi" w:eastAsiaTheme="minorEastAsia" w:hAnsiTheme="minorHAnsi" w:cstheme="minorBidi"/>
                <w:sz w:val="22"/>
                <w:szCs w:val="22"/>
              </w:rPr>
            </w:pPr>
          </w:p>
        </w:tc>
        <w:tc>
          <w:tcPr>
            <w:tcW w:w="3838" w:type="dxa"/>
          </w:tcPr>
          <w:p w14:paraId="728C0A96" w14:textId="77777777" w:rsidR="00636A93" w:rsidRPr="004870BB" w:rsidRDefault="00636A93" w:rsidP="008715A2">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Minimum contents of annual financial statements</w:t>
            </w:r>
          </w:p>
          <w:p w14:paraId="7AD2E444" w14:textId="28602436" w:rsidR="00636A93" w:rsidRPr="004870BB" w:rsidDel="004E375D" w:rsidRDefault="00636A93" w:rsidP="008715A2">
            <w:pPr>
              <w:rPr>
                <w:rFonts w:asciiTheme="minorHAnsi" w:eastAsiaTheme="minorEastAsia" w:hAnsiTheme="minorHAnsi" w:cstheme="minorBidi"/>
                <w:sz w:val="22"/>
                <w:szCs w:val="22"/>
              </w:rPr>
            </w:pPr>
          </w:p>
        </w:tc>
        <w:tc>
          <w:tcPr>
            <w:tcW w:w="3533" w:type="dxa"/>
          </w:tcPr>
          <w:p w14:paraId="078BF8C5" w14:textId="77777777" w:rsidR="00636A93" w:rsidRPr="004870BB" w:rsidDel="004E375D" w:rsidRDefault="00636A93" w:rsidP="008715A2">
            <w:pPr>
              <w:rPr>
                <w:rFonts w:asciiTheme="minorHAnsi" w:eastAsiaTheme="minorEastAsia" w:hAnsiTheme="minorHAnsi" w:cstheme="minorBidi"/>
                <w:sz w:val="22"/>
                <w:szCs w:val="22"/>
              </w:rPr>
            </w:pPr>
          </w:p>
        </w:tc>
        <w:tc>
          <w:tcPr>
            <w:tcW w:w="5954" w:type="dxa"/>
          </w:tcPr>
          <w:p w14:paraId="73AC2C60" w14:textId="77777777" w:rsidR="00636A93" w:rsidRPr="004870BB" w:rsidDel="004E375D" w:rsidRDefault="00636A93" w:rsidP="008715A2">
            <w:pPr>
              <w:rPr>
                <w:rFonts w:asciiTheme="minorHAnsi" w:eastAsiaTheme="minorEastAsia" w:hAnsiTheme="minorHAnsi" w:cstheme="minorBidi"/>
                <w:sz w:val="22"/>
                <w:szCs w:val="22"/>
              </w:rPr>
            </w:pPr>
          </w:p>
        </w:tc>
      </w:tr>
      <w:tr w:rsidR="00763B2F" w:rsidRPr="004870BB" w:rsidDel="004E375D" w14:paraId="573A5FF1" w14:textId="7C604D7A" w:rsidTr="42ABBDCE">
        <w:tc>
          <w:tcPr>
            <w:tcW w:w="567" w:type="dxa"/>
          </w:tcPr>
          <w:p w14:paraId="04416757" w14:textId="77777777" w:rsidR="00636A93" w:rsidRPr="004870BB" w:rsidRDefault="00636A93" w:rsidP="42ABBDCE">
            <w:pPr>
              <w:ind w:left="360"/>
              <w:rPr>
                <w:rFonts w:asciiTheme="minorHAnsi" w:eastAsiaTheme="minorEastAsia" w:hAnsiTheme="minorHAnsi" w:cstheme="minorBidi"/>
                <w:sz w:val="22"/>
                <w:szCs w:val="22"/>
              </w:rPr>
            </w:pPr>
          </w:p>
        </w:tc>
        <w:tc>
          <w:tcPr>
            <w:tcW w:w="3838" w:type="dxa"/>
          </w:tcPr>
          <w:p w14:paraId="5C262DD9" w14:textId="77777777" w:rsidR="00636A93" w:rsidRPr="004870BB" w:rsidRDefault="00636A93" w:rsidP="008715A2">
            <w:pPr>
              <w:rPr>
                <w:rFonts w:asciiTheme="minorHAnsi" w:eastAsiaTheme="minorEastAsia" w:hAnsiTheme="minorHAnsi" w:cstheme="minorBidi"/>
                <w:b/>
                <w:bCs/>
                <w:sz w:val="22"/>
                <w:szCs w:val="22"/>
              </w:rPr>
            </w:pPr>
          </w:p>
        </w:tc>
        <w:tc>
          <w:tcPr>
            <w:tcW w:w="3533" w:type="dxa"/>
          </w:tcPr>
          <w:p w14:paraId="3FB9D558" w14:textId="77777777" w:rsidR="00636A93" w:rsidRPr="004870BB" w:rsidDel="004E375D" w:rsidRDefault="00636A93" w:rsidP="008715A2">
            <w:pPr>
              <w:rPr>
                <w:rFonts w:asciiTheme="minorHAnsi" w:eastAsiaTheme="minorEastAsia" w:hAnsiTheme="minorHAnsi" w:cstheme="minorBidi"/>
                <w:sz w:val="22"/>
                <w:szCs w:val="22"/>
              </w:rPr>
            </w:pPr>
          </w:p>
        </w:tc>
        <w:tc>
          <w:tcPr>
            <w:tcW w:w="5954" w:type="dxa"/>
          </w:tcPr>
          <w:p w14:paraId="15894DF7" w14:textId="77777777" w:rsidR="00636A93" w:rsidRPr="004870BB" w:rsidDel="004E375D" w:rsidRDefault="00636A93" w:rsidP="008715A2">
            <w:pPr>
              <w:rPr>
                <w:rFonts w:asciiTheme="minorHAnsi" w:eastAsiaTheme="minorEastAsia" w:hAnsiTheme="minorHAnsi" w:cstheme="minorBidi"/>
                <w:sz w:val="22"/>
                <w:szCs w:val="22"/>
              </w:rPr>
            </w:pPr>
          </w:p>
        </w:tc>
      </w:tr>
      <w:tr w:rsidR="00763B2F" w:rsidRPr="004870BB" w:rsidDel="004E375D" w14:paraId="21316050" w14:textId="58409EC4" w:rsidTr="42ABBDCE">
        <w:tc>
          <w:tcPr>
            <w:tcW w:w="567" w:type="dxa"/>
          </w:tcPr>
          <w:p w14:paraId="0AEF8C9E" w14:textId="77777777" w:rsidR="00F5569A" w:rsidRPr="004870BB" w:rsidRDefault="00F5569A" w:rsidP="42ABBDCE">
            <w:pPr>
              <w:numPr>
                <w:ilvl w:val="0"/>
                <w:numId w:val="2"/>
              </w:numPr>
              <w:rPr>
                <w:rFonts w:asciiTheme="minorHAnsi" w:eastAsiaTheme="minorEastAsia" w:hAnsiTheme="minorHAnsi" w:cstheme="minorBidi"/>
                <w:sz w:val="22"/>
                <w:szCs w:val="22"/>
              </w:rPr>
            </w:pPr>
          </w:p>
        </w:tc>
        <w:tc>
          <w:tcPr>
            <w:tcW w:w="3838" w:type="dxa"/>
          </w:tcPr>
          <w:p w14:paraId="22F23D2D" w14:textId="7976D14A" w:rsidR="00F5569A" w:rsidRPr="004870BB" w:rsidRDefault="00F5569A"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11.36(a)</w:t>
            </w:r>
          </w:p>
        </w:tc>
        <w:tc>
          <w:tcPr>
            <w:tcW w:w="3533" w:type="dxa"/>
          </w:tcPr>
          <w:p w14:paraId="4221AE88" w14:textId="77777777" w:rsidR="00F5569A" w:rsidRPr="004870BB" w:rsidDel="004E375D" w:rsidRDefault="00F5569A" w:rsidP="008715A2">
            <w:pPr>
              <w:rPr>
                <w:rFonts w:asciiTheme="minorHAnsi" w:eastAsiaTheme="minorEastAsia" w:hAnsiTheme="minorHAnsi" w:cstheme="minorBidi"/>
                <w:sz w:val="22"/>
                <w:szCs w:val="22"/>
              </w:rPr>
            </w:pPr>
          </w:p>
        </w:tc>
        <w:tc>
          <w:tcPr>
            <w:tcW w:w="5954" w:type="dxa"/>
            <w:vMerge w:val="restart"/>
          </w:tcPr>
          <w:p w14:paraId="7955AA6E" w14:textId="77777777" w:rsidR="00F5569A" w:rsidRPr="004870BB" w:rsidRDefault="00F5569A" w:rsidP="008715A2">
            <w:pPr>
              <w:pStyle w:val="000"/>
              <w:spacing w:before="0"/>
              <w:rPr>
                <w:rFonts w:asciiTheme="minorHAnsi" w:eastAsiaTheme="minorEastAsia" w:hAnsiTheme="minorHAnsi" w:cstheme="minorBidi"/>
                <w:szCs w:val="22"/>
              </w:rPr>
            </w:pPr>
            <w:r w:rsidRPr="42ABBDCE">
              <w:rPr>
                <w:rFonts w:asciiTheme="minorHAnsi" w:eastAsiaTheme="minorEastAsia" w:hAnsiTheme="minorHAnsi" w:cstheme="minorBidi"/>
                <w:szCs w:val="22"/>
              </w:rPr>
              <w:t>11.36</w:t>
            </w:r>
            <w:r>
              <w:tab/>
            </w:r>
            <w:r w:rsidRPr="42ABBDCE">
              <w:rPr>
                <w:rFonts w:asciiTheme="minorHAnsi" w:eastAsiaTheme="minorEastAsia" w:hAnsiTheme="minorHAnsi" w:cstheme="minorBidi"/>
                <w:szCs w:val="22"/>
              </w:rPr>
              <w:t>The annual financial statements must be:</w:t>
            </w:r>
          </w:p>
          <w:p w14:paraId="667839AA" w14:textId="77777777" w:rsidR="00F5569A" w:rsidRPr="004870BB" w:rsidRDefault="00F5569A" w:rsidP="008715A2">
            <w:pPr>
              <w:pStyle w:val="a-0000"/>
              <w:spacing w:before="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(a)</w:t>
            </w:r>
            <w:r w:rsidRPr="004870BB">
              <w:rPr>
                <w:rFonts w:ascii="Arial" w:hAnsi="Arial" w:cs="Arial"/>
                <w:sz w:val="20"/>
              </w:rPr>
              <w:tab/>
            </w:r>
            <w:proofErr w:type="gramStart"/>
            <w:r w:rsidRPr="42ABBDCE">
              <w:rPr>
                <w:rFonts w:asciiTheme="minorHAnsi" w:eastAsiaTheme="minorEastAsia" w:hAnsiTheme="minorHAnsi" w:cstheme="minorBidi"/>
                <w:sz w:val="22"/>
                <w:szCs w:val="22"/>
              </w:rPr>
              <w:t>consolidated;</w:t>
            </w:r>
            <w:proofErr w:type="gramEnd"/>
          </w:p>
          <w:p w14:paraId="2D492AC4" w14:textId="77777777" w:rsidR="00F5569A" w:rsidRPr="004870BB" w:rsidRDefault="00F5569A" w:rsidP="008715A2">
            <w:pPr>
              <w:pStyle w:val="a-0000"/>
              <w:spacing w:before="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(b)</w:t>
            </w:r>
            <w:r w:rsidRPr="004870BB">
              <w:rPr>
                <w:rFonts w:ascii="Arial" w:hAnsi="Arial" w:cs="Arial"/>
                <w:sz w:val="20"/>
              </w:rPr>
              <w:tab/>
            </w:r>
            <w:r w:rsidRPr="42ABBDCE">
              <w:rPr>
                <w:rFonts w:asciiTheme="minorHAnsi" w:eastAsiaTheme="minorEastAsia" w:hAnsiTheme="minorHAnsi" w:cstheme="minorBidi"/>
                <w:sz w:val="22"/>
                <w:szCs w:val="22"/>
              </w:rPr>
              <w:t>prepared in accordance with the applicable national law; and</w:t>
            </w:r>
          </w:p>
          <w:p w14:paraId="6AFA6C47" w14:textId="77777777" w:rsidR="00F5569A" w:rsidRPr="004870BB" w:rsidRDefault="00F5569A" w:rsidP="008715A2">
            <w:pPr>
              <w:pStyle w:val="a-0000"/>
              <w:spacing w:before="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(c)</w:t>
            </w:r>
            <w:r w:rsidRPr="004870BB">
              <w:rPr>
                <w:rFonts w:ascii="Arial" w:hAnsi="Arial" w:cs="Arial"/>
                <w:sz w:val="20"/>
              </w:rPr>
              <w:tab/>
            </w:r>
            <w:r w:rsidRPr="42ABBDCE">
              <w:rPr>
                <w:rFonts w:asciiTheme="minorHAnsi" w:eastAsiaTheme="minorEastAsia" w:hAnsiTheme="minorHAnsi" w:cstheme="minorBidi"/>
                <w:sz w:val="22"/>
                <w:szCs w:val="22"/>
              </w:rPr>
              <w:t>prepared in accordance with International Financial Reporting Standards and the SA financial reporting requirements where applicable (see Section 3).</w:t>
            </w:r>
          </w:p>
          <w:p w14:paraId="4217AE8D" w14:textId="77777777" w:rsidR="00F5569A" w:rsidRPr="004870BB" w:rsidDel="004E375D" w:rsidRDefault="00F5569A" w:rsidP="008715A2">
            <w:pPr>
              <w:rPr>
                <w:rFonts w:asciiTheme="minorHAnsi" w:eastAsiaTheme="minorEastAsia" w:hAnsiTheme="minorHAnsi" w:cstheme="minorBidi"/>
                <w:sz w:val="22"/>
                <w:szCs w:val="22"/>
              </w:rPr>
            </w:pPr>
          </w:p>
        </w:tc>
      </w:tr>
      <w:tr w:rsidR="00763B2F" w:rsidRPr="004870BB" w:rsidDel="004E375D" w14:paraId="73A6DA9B" w14:textId="59A9C8C9" w:rsidTr="42ABBDCE">
        <w:tc>
          <w:tcPr>
            <w:tcW w:w="567" w:type="dxa"/>
          </w:tcPr>
          <w:p w14:paraId="7E48ACC8" w14:textId="77777777" w:rsidR="00F5569A" w:rsidRPr="004870BB" w:rsidRDefault="00F5569A" w:rsidP="42ABBDCE">
            <w:pPr>
              <w:numPr>
                <w:ilvl w:val="0"/>
                <w:numId w:val="2"/>
              </w:numPr>
              <w:rPr>
                <w:rFonts w:asciiTheme="minorHAnsi" w:eastAsiaTheme="minorEastAsia" w:hAnsiTheme="minorHAnsi" w:cstheme="minorBidi"/>
                <w:sz w:val="22"/>
                <w:szCs w:val="22"/>
              </w:rPr>
            </w:pPr>
          </w:p>
        </w:tc>
        <w:tc>
          <w:tcPr>
            <w:tcW w:w="3838" w:type="dxa"/>
          </w:tcPr>
          <w:p w14:paraId="45197F0C" w14:textId="444B7381" w:rsidR="00F5569A" w:rsidRPr="004870BB" w:rsidDel="004E375D" w:rsidRDefault="00F5569A" w:rsidP="42ABBDCE">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11.36(b)</w:t>
            </w:r>
          </w:p>
        </w:tc>
        <w:tc>
          <w:tcPr>
            <w:tcW w:w="3533" w:type="dxa"/>
          </w:tcPr>
          <w:p w14:paraId="7E2BDC14" w14:textId="77777777" w:rsidR="00F5569A" w:rsidRPr="004870BB" w:rsidDel="004E375D" w:rsidRDefault="00F5569A" w:rsidP="42ABBDCE">
            <w:pPr>
              <w:rPr>
                <w:rFonts w:asciiTheme="minorHAnsi" w:eastAsiaTheme="minorEastAsia" w:hAnsiTheme="minorHAnsi" w:cstheme="minorBidi"/>
                <w:sz w:val="22"/>
                <w:szCs w:val="22"/>
              </w:rPr>
            </w:pPr>
          </w:p>
        </w:tc>
        <w:tc>
          <w:tcPr>
            <w:tcW w:w="5954" w:type="dxa"/>
            <w:vMerge/>
          </w:tcPr>
          <w:p w14:paraId="6188B90F" w14:textId="77777777" w:rsidR="00F5569A" w:rsidRPr="004870BB" w:rsidDel="004E375D" w:rsidRDefault="00F5569A" w:rsidP="00D03073">
            <w:pPr>
              <w:rPr>
                <w:rFonts w:ascii="Arial" w:hAnsi="Arial" w:cs="Arial"/>
                <w:iCs/>
                <w:sz w:val="20"/>
                <w:szCs w:val="20"/>
              </w:rPr>
            </w:pPr>
          </w:p>
        </w:tc>
      </w:tr>
      <w:tr w:rsidR="00763B2F" w:rsidRPr="004870BB" w:rsidDel="004E375D" w14:paraId="40D99417" w14:textId="0A217165" w:rsidTr="42ABBDCE">
        <w:tc>
          <w:tcPr>
            <w:tcW w:w="567" w:type="dxa"/>
          </w:tcPr>
          <w:p w14:paraId="631D6983" w14:textId="77777777" w:rsidR="00F5569A" w:rsidRPr="004870BB" w:rsidRDefault="00F5569A" w:rsidP="42ABBDCE">
            <w:pPr>
              <w:numPr>
                <w:ilvl w:val="0"/>
                <w:numId w:val="2"/>
              </w:numPr>
              <w:rPr>
                <w:rFonts w:asciiTheme="minorHAnsi" w:eastAsiaTheme="minorEastAsia" w:hAnsiTheme="minorHAnsi" w:cstheme="minorBidi"/>
                <w:sz w:val="22"/>
                <w:szCs w:val="22"/>
              </w:rPr>
            </w:pPr>
          </w:p>
        </w:tc>
        <w:tc>
          <w:tcPr>
            <w:tcW w:w="3838" w:type="dxa"/>
          </w:tcPr>
          <w:p w14:paraId="7A65B482" w14:textId="16F1D5FE" w:rsidR="00F5569A" w:rsidRPr="004870BB" w:rsidRDefault="00F5569A" w:rsidP="42ABBDCE">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11.36(c)</w:t>
            </w:r>
          </w:p>
        </w:tc>
        <w:tc>
          <w:tcPr>
            <w:tcW w:w="3533" w:type="dxa"/>
          </w:tcPr>
          <w:p w14:paraId="2ACACAFA" w14:textId="77777777" w:rsidR="00F5569A" w:rsidRPr="004870BB" w:rsidDel="004E375D" w:rsidRDefault="00F5569A" w:rsidP="42ABBDCE">
            <w:pPr>
              <w:rPr>
                <w:rFonts w:asciiTheme="minorHAnsi" w:eastAsiaTheme="minorEastAsia" w:hAnsiTheme="minorHAnsi" w:cstheme="minorBidi"/>
                <w:sz w:val="22"/>
                <w:szCs w:val="22"/>
              </w:rPr>
            </w:pPr>
          </w:p>
        </w:tc>
        <w:tc>
          <w:tcPr>
            <w:tcW w:w="5954" w:type="dxa"/>
            <w:vMerge/>
          </w:tcPr>
          <w:p w14:paraId="4007E27E" w14:textId="77777777" w:rsidR="00F5569A" w:rsidRPr="004870BB" w:rsidDel="004E375D" w:rsidRDefault="00F5569A" w:rsidP="00D03073">
            <w:pPr>
              <w:rPr>
                <w:rFonts w:ascii="Arial" w:hAnsi="Arial" w:cs="Arial"/>
                <w:iCs/>
                <w:sz w:val="20"/>
                <w:szCs w:val="20"/>
              </w:rPr>
            </w:pPr>
          </w:p>
        </w:tc>
      </w:tr>
      <w:tr w:rsidR="00763B2F" w:rsidRPr="004870BB" w:rsidDel="004E375D" w14:paraId="1A3CCAFE" w14:textId="6290719D" w:rsidTr="42ABBDCE">
        <w:tc>
          <w:tcPr>
            <w:tcW w:w="567" w:type="dxa"/>
          </w:tcPr>
          <w:p w14:paraId="761303D4"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5286D52D" w14:textId="706CFA64"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11.37(a)</w:t>
            </w:r>
          </w:p>
        </w:tc>
        <w:tc>
          <w:tcPr>
            <w:tcW w:w="3533" w:type="dxa"/>
          </w:tcPr>
          <w:p w14:paraId="19ACEE40"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val="restart"/>
          </w:tcPr>
          <w:p w14:paraId="20A84806" w14:textId="77777777" w:rsidR="008661C0" w:rsidRPr="004870BB" w:rsidRDefault="008661C0" w:rsidP="42ABBDCE">
            <w:pPr>
              <w:pStyle w:val="000"/>
              <w:rPr>
                <w:rFonts w:asciiTheme="minorHAnsi" w:eastAsiaTheme="minorEastAsia" w:hAnsiTheme="minorHAnsi" w:cstheme="minorBidi"/>
                <w:szCs w:val="22"/>
              </w:rPr>
            </w:pPr>
            <w:r w:rsidRPr="42ABBDCE">
              <w:rPr>
                <w:rFonts w:asciiTheme="minorHAnsi" w:eastAsiaTheme="minorEastAsia" w:hAnsiTheme="minorHAnsi" w:cstheme="minorBidi"/>
                <w:szCs w:val="22"/>
              </w:rPr>
              <w:t>11.37</w:t>
            </w:r>
            <w:r>
              <w:tab/>
            </w:r>
            <w:r w:rsidRPr="42ABBDCE">
              <w:rPr>
                <w:rFonts w:asciiTheme="minorHAnsi" w:eastAsiaTheme="minorEastAsia" w:hAnsiTheme="minorHAnsi" w:cstheme="minorBidi"/>
                <w:szCs w:val="22"/>
              </w:rPr>
              <w:t>The following must be disclosed in the annual financial statements:</w:t>
            </w:r>
          </w:p>
          <w:p w14:paraId="72DFCB2B"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(a)</w:t>
            </w:r>
            <w:r w:rsidRPr="004870BB">
              <w:rPr>
                <w:rFonts w:ascii="Arial" w:hAnsi="Arial" w:cs="Arial"/>
                <w:sz w:val="20"/>
              </w:rPr>
              <w:tab/>
            </w:r>
            <w:r w:rsidRPr="42ABBDCE">
              <w:rPr>
                <w:rFonts w:asciiTheme="minorHAnsi" w:eastAsiaTheme="minorEastAsia" w:hAnsiTheme="minorHAnsi" w:cstheme="minorBidi"/>
                <w:sz w:val="22"/>
                <w:szCs w:val="22"/>
              </w:rPr>
              <w:t xml:space="preserve">the responsibility statement referred to in </w:t>
            </w:r>
            <w:proofErr w:type="gramStart"/>
            <w:r w:rsidRPr="42ABBDCE">
              <w:rPr>
                <w:rFonts w:asciiTheme="minorHAnsi" w:eastAsiaTheme="minorEastAsia" w:hAnsiTheme="minorHAnsi" w:cstheme="minorBidi"/>
                <w:sz w:val="22"/>
                <w:szCs w:val="22"/>
              </w:rPr>
              <w:t>5.9;</w:t>
            </w:r>
            <w:proofErr w:type="gramEnd"/>
          </w:p>
          <w:p w14:paraId="0E822B48"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(b)</w:t>
            </w:r>
            <w:r w:rsidRPr="004870BB">
              <w:rPr>
                <w:rFonts w:ascii="Arial" w:hAnsi="Arial" w:cs="Arial"/>
                <w:sz w:val="20"/>
              </w:rPr>
              <w:tab/>
            </w:r>
            <w:r w:rsidRPr="42ABBDCE">
              <w:rPr>
                <w:rFonts w:asciiTheme="minorHAnsi" w:eastAsiaTheme="minorEastAsia" w:hAnsiTheme="minorHAnsi" w:cstheme="minorBidi"/>
                <w:sz w:val="22"/>
                <w:szCs w:val="22"/>
              </w:rPr>
              <w:t xml:space="preserve">headline earnings per share and </w:t>
            </w:r>
            <w:proofErr w:type="gramStart"/>
            <w:r w:rsidRPr="42ABBDCE">
              <w:rPr>
                <w:rFonts w:asciiTheme="minorHAnsi" w:eastAsiaTheme="minorEastAsia" w:hAnsiTheme="minorHAnsi" w:cstheme="minorBidi"/>
                <w:sz w:val="22"/>
                <w:szCs w:val="22"/>
              </w:rPr>
              <w:t>a diluted headline earnings</w:t>
            </w:r>
            <w:proofErr w:type="gramEnd"/>
            <w:r w:rsidRPr="42ABBDCE">
              <w:rPr>
                <w:rFonts w:asciiTheme="minorHAnsi" w:eastAsiaTheme="minorEastAsia" w:hAnsiTheme="minorHAnsi" w:cstheme="minorBidi"/>
                <w:sz w:val="22"/>
                <w:szCs w:val="22"/>
              </w:rPr>
              <w:t xml:space="preserve"> per share   for the current and preceding financial year together with an itemised reconciliation between headline earnings and </w:t>
            </w:r>
            <w:proofErr w:type="gramStart"/>
            <w:r w:rsidRPr="42ABBDCE">
              <w:rPr>
                <w:rFonts w:asciiTheme="minorHAnsi" w:eastAsiaTheme="minorEastAsia" w:hAnsiTheme="minorHAnsi" w:cstheme="minorBidi"/>
                <w:sz w:val="22"/>
                <w:szCs w:val="22"/>
              </w:rPr>
              <w:t>earnings;</w:t>
            </w:r>
            <w:proofErr w:type="gramEnd"/>
            <w:r w:rsidRPr="42ABBDCE">
              <w:rPr>
                <w:rFonts w:asciiTheme="minorHAnsi" w:eastAsiaTheme="minorEastAsia" w:hAnsiTheme="minorHAnsi" w:cstheme="minorBidi"/>
                <w:sz w:val="22"/>
                <w:szCs w:val="22"/>
              </w:rPr>
              <w:t xml:space="preserve"> </w:t>
            </w:r>
          </w:p>
          <w:p w14:paraId="32C329F8"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lastRenderedPageBreak/>
              <w:tab/>
            </w:r>
            <w:r w:rsidRPr="42ABBDCE">
              <w:rPr>
                <w:rFonts w:asciiTheme="minorHAnsi" w:eastAsiaTheme="minorEastAsia" w:hAnsiTheme="minorHAnsi" w:cstheme="minorBidi"/>
                <w:sz w:val="22"/>
                <w:szCs w:val="22"/>
              </w:rPr>
              <w:t>(c)</w:t>
            </w:r>
            <w:r w:rsidRPr="004870BB">
              <w:rPr>
                <w:rFonts w:ascii="Arial" w:hAnsi="Arial" w:cs="Arial"/>
                <w:sz w:val="20"/>
              </w:rPr>
              <w:tab/>
            </w:r>
            <w:r w:rsidRPr="42ABBDCE">
              <w:rPr>
                <w:rFonts w:asciiTheme="minorHAnsi" w:eastAsiaTheme="minorEastAsia" w:hAnsiTheme="minorHAnsi" w:cstheme="minorBidi"/>
                <w:sz w:val="22"/>
                <w:szCs w:val="22"/>
              </w:rPr>
              <w:t>directors’ interests, including directors who have resigned during the reporting period:</w:t>
            </w:r>
          </w:p>
          <w:p w14:paraId="042DED82" w14:textId="77777777" w:rsidR="008661C0" w:rsidRPr="004870BB" w:rsidRDefault="008661C0" w:rsidP="42ABBDCE">
            <w:pPr>
              <w:pStyle w:val="i-0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w:t>
            </w:r>
            <w:r w:rsidRPr="004870BB">
              <w:rPr>
                <w:rFonts w:ascii="Arial" w:hAnsi="Arial" w:cs="Arial"/>
                <w:sz w:val="20"/>
              </w:rPr>
              <w:tab/>
            </w:r>
            <w:r w:rsidRPr="42ABBDCE">
              <w:rPr>
                <w:rFonts w:asciiTheme="minorHAnsi" w:eastAsiaTheme="minorEastAsia" w:hAnsiTheme="minorHAnsi" w:cstheme="minorBidi"/>
                <w:sz w:val="22"/>
                <w:szCs w:val="22"/>
              </w:rPr>
              <w:t>the aggregate</w:t>
            </w:r>
            <w:r w:rsidRPr="42ABBDCE">
              <w:rPr>
                <w:rStyle w:val="CommentReference"/>
                <w:rFonts w:asciiTheme="minorHAnsi" w:eastAsiaTheme="minorEastAsia" w:hAnsiTheme="minorHAnsi" w:cstheme="minorBidi"/>
                <w:sz w:val="22"/>
                <w:szCs w:val="22"/>
              </w:rPr>
              <w:t xml:space="preserve"> </w:t>
            </w:r>
            <w:r w:rsidRPr="42ABBDCE">
              <w:rPr>
                <w:rFonts w:asciiTheme="minorHAnsi" w:eastAsiaTheme="minorEastAsia" w:hAnsiTheme="minorHAnsi" w:cstheme="minorBidi"/>
                <w:sz w:val="22"/>
                <w:szCs w:val="22"/>
              </w:rPr>
              <w:t xml:space="preserve">direct and indirect beneficial interests of directors (and his/her associates) and the direct and indirect interest of each director’s holding in the share capital of the issuer, including the director’s holdings which are subject to security, guarantee, collateral or otherwise in terms of 6.78(g). All changes in interests occurring between the end of the financial year and the date of approval of the annual financial statements must be disclosed or alternatively, a negative statement; and </w:t>
            </w:r>
          </w:p>
          <w:p w14:paraId="70FD429B" w14:textId="77777777" w:rsidR="008661C0" w:rsidRPr="004870BB" w:rsidRDefault="008661C0" w:rsidP="42ABBDCE">
            <w:pPr>
              <w:pStyle w:val="i-0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(ii)</w:t>
            </w:r>
            <w:r w:rsidRPr="004870BB">
              <w:rPr>
                <w:rFonts w:ascii="Arial" w:hAnsi="Arial" w:cs="Arial"/>
                <w:sz w:val="20"/>
              </w:rPr>
              <w:tab/>
            </w:r>
            <w:r w:rsidRPr="42ABBDCE">
              <w:rPr>
                <w:rFonts w:asciiTheme="minorHAnsi" w:eastAsiaTheme="minorEastAsia" w:hAnsiTheme="minorHAnsi" w:cstheme="minorBidi"/>
                <w:sz w:val="22"/>
                <w:szCs w:val="22"/>
              </w:rPr>
              <w:t xml:space="preserve">comparative figures for the previous year must be </w:t>
            </w:r>
            <w:proofErr w:type="gramStart"/>
            <w:r w:rsidRPr="42ABBDCE">
              <w:rPr>
                <w:rFonts w:asciiTheme="minorHAnsi" w:eastAsiaTheme="minorEastAsia" w:hAnsiTheme="minorHAnsi" w:cstheme="minorBidi"/>
                <w:sz w:val="22"/>
                <w:szCs w:val="22"/>
              </w:rPr>
              <w:t>presented;</w:t>
            </w:r>
            <w:proofErr w:type="gramEnd"/>
          </w:p>
          <w:p w14:paraId="3EF11EDB"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bookmarkStart w:id="0" w:name="_Hlk177127199"/>
            <w:r w:rsidRPr="42ABBDCE">
              <w:rPr>
                <w:rFonts w:asciiTheme="minorHAnsi" w:eastAsiaTheme="minorEastAsia" w:hAnsiTheme="minorHAnsi" w:cstheme="minorBidi"/>
                <w:sz w:val="22"/>
                <w:szCs w:val="22"/>
              </w:rPr>
              <w:t>(d)</w:t>
            </w:r>
            <w:r w:rsidRPr="004870BB">
              <w:rPr>
                <w:rFonts w:ascii="Arial" w:hAnsi="Arial" w:cs="Arial"/>
                <w:sz w:val="20"/>
              </w:rPr>
              <w:tab/>
            </w:r>
            <w:r w:rsidRPr="42ABBDCE">
              <w:rPr>
                <w:rFonts w:asciiTheme="minorHAnsi" w:eastAsiaTheme="minorEastAsia" w:hAnsiTheme="minorHAnsi" w:cstheme="minorBidi"/>
                <w:sz w:val="22"/>
                <w:szCs w:val="22"/>
              </w:rPr>
              <w:t xml:space="preserve">the interest of each major shareholder, other than a director, or alternatively, a negative </w:t>
            </w:r>
            <w:proofErr w:type="gramStart"/>
            <w:r w:rsidRPr="42ABBDCE">
              <w:rPr>
                <w:rFonts w:asciiTheme="minorHAnsi" w:eastAsiaTheme="minorEastAsia" w:hAnsiTheme="minorHAnsi" w:cstheme="minorBidi"/>
                <w:sz w:val="22"/>
                <w:szCs w:val="22"/>
              </w:rPr>
              <w:t>statement;</w:t>
            </w:r>
            <w:bookmarkEnd w:id="0"/>
            <w:proofErr w:type="gramEnd"/>
          </w:p>
          <w:p w14:paraId="43399CC9"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(e)</w:t>
            </w:r>
            <w:r w:rsidRPr="004870BB">
              <w:rPr>
                <w:rFonts w:ascii="Arial" w:hAnsi="Arial" w:cs="Arial"/>
                <w:sz w:val="20"/>
              </w:rPr>
              <w:tab/>
            </w:r>
            <w:r w:rsidRPr="42ABBDCE">
              <w:rPr>
                <w:rFonts w:asciiTheme="minorHAnsi" w:eastAsiaTheme="minorEastAsia" w:hAnsiTheme="minorHAnsi" w:cstheme="minorBidi"/>
                <w:sz w:val="22"/>
                <w:szCs w:val="22"/>
              </w:rPr>
              <w:t>information on public shareholders, excluding (d) of the definition:</w:t>
            </w:r>
          </w:p>
          <w:p w14:paraId="1440B412" w14:textId="77777777" w:rsidR="008661C0" w:rsidRPr="004870BB" w:rsidRDefault="008661C0" w:rsidP="42ABBDCE">
            <w:pPr>
              <w:pStyle w:val="i-0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w:t>
            </w:r>
            <w:r w:rsidRPr="004870BB">
              <w:rPr>
                <w:rFonts w:ascii="Arial" w:hAnsi="Arial" w:cs="Arial"/>
                <w:sz w:val="20"/>
              </w:rPr>
              <w:tab/>
            </w:r>
            <w:r w:rsidRPr="42ABBDCE">
              <w:rPr>
                <w:rFonts w:asciiTheme="minorHAnsi" w:eastAsiaTheme="minorEastAsia" w:hAnsiTheme="minorHAnsi" w:cstheme="minorBidi"/>
                <w:sz w:val="22"/>
                <w:szCs w:val="22"/>
              </w:rPr>
              <w:t>the number of public securities holders for every class of listed securities; and</w:t>
            </w:r>
          </w:p>
          <w:p w14:paraId="1148E358" w14:textId="77777777" w:rsidR="008661C0" w:rsidRPr="004870BB" w:rsidRDefault="008661C0" w:rsidP="42ABBDCE">
            <w:pPr>
              <w:pStyle w:val="i-0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(ii)</w:t>
            </w:r>
            <w:r w:rsidRPr="004870BB">
              <w:rPr>
                <w:rFonts w:ascii="Arial" w:hAnsi="Arial" w:cs="Arial"/>
                <w:sz w:val="20"/>
              </w:rPr>
              <w:tab/>
            </w:r>
            <w:r w:rsidRPr="42ABBDCE">
              <w:rPr>
                <w:rFonts w:asciiTheme="minorHAnsi" w:eastAsiaTheme="minorEastAsia" w:hAnsiTheme="minorHAnsi" w:cstheme="minorBidi"/>
                <w:sz w:val="22"/>
                <w:szCs w:val="22"/>
              </w:rPr>
              <w:t xml:space="preserve">the percentages of each class of securities held by public and non-public </w:t>
            </w:r>
            <w:proofErr w:type="gramStart"/>
            <w:r w:rsidRPr="42ABBDCE">
              <w:rPr>
                <w:rFonts w:asciiTheme="minorHAnsi" w:eastAsiaTheme="minorEastAsia" w:hAnsiTheme="minorHAnsi" w:cstheme="minorBidi"/>
                <w:sz w:val="22"/>
                <w:szCs w:val="22"/>
              </w:rPr>
              <w:t>shareholders;</w:t>
            </w:r>
            <w:proofErr w:type="gramEnd"/>
          </w:p>
          <w:p w14:paraId="3446616A"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(f)</w:t>
            </w:r>
            <w:r w:rsidRPr="004870BB">
              <w:rPr>
                <w:rFonts w:ascii="Arial" w:hAnsi="Arial" w:cs="Arial"/>
                <w:sz w:val="20"/>
              </w:rPr>
              <w:tab/>
            </w:r>
            <w:r w:rsidRPr="42ABBDCE">
              <w:rPr>
                <w:rFonts w:asciiTheme="minorHAnsi" w:eastAsiaTheme="minorEastAsia" w:hAnsiTheme="minorHAnsi" w:cstheme="minorBidi"/>
                <w:sz w:val="22"/>
                <w:szCs w:val="22"/>
              </w:rPr>
              <w:t xml:space="preserve">for the issuer and its subsidiary companies’ share incentive schemes, summarised details and terms of options/awards in issue at the beginning of the financial period, cancelled or issued during the financial period and in issue at the end of the financial period, the number of securities that may be utilised for purposes of the scheme at the </w:t>
            </w:r>
            <w:r w:rsidRPr="42ABBDCE">
              <w:rPr>
                <w:rFonts w:asciiTheme="minorHAnsi" w:eastAsiaTheme="minorEastAsia" w:hAnsiTheme="minorHAnsi" w:cstheme="minorBidi"/>
                <w:sz w:val="22"/>
                <w:szCs w:val="22"/>
              </w:rPr>
              <w:lastRenderedPageBreak/>
              <w:t>beginning of the financial period, changes in such number during the financial period and the number of securities available for utilisation for purposes of the scheme at the end of the financial period;</w:t>
            </w:r>
          </w:p>
          <w:p w14:paraId="6F84B461" w14:textId="2F5AA473" w:rsidR="00323425" w:rsidRPr="004870BB" w:rsidRDefault="00135937" w:rsidP="42ABBDCE">
            <w:pPr>
              <w:pStyle w:val="a-0000"/>
              <w:rPr>
                <w:rFonts w:asciiTheme="minorHAnsi" w:eastAsiaTheme="minorEastAsia" w:hAnsiTheme="minorHAnsi" w:cstheme="minorBidi"/>
                <w:i/>
                <w:iCs/>
                <w:sz w:val="22"/>
                <w:szCs w:val="22"/>
              </w:rPr>
            </w:pPr>
            <w:r w:rsidRPr="42ABBDCE">
              <w:rPr>
                <w:rFonts w:asciiTheme="minorHAnsi" w:eastAsiaTheme="minorEastAsia" w:hAnsiTheme="minorHAnsi" w:cstheme="minorBidi"/>
                <w:color w:val="00B050"/>
                <w:sz w:val="22"/>
                <w:szCs w:val="22"/>
              </w:rPr>
              <w:t xml:space="preserve">                       </w:t>
            </w:r>
            <w:r w:rsidR="0024004A" w:rsidRPr="42ABBDCE">
              <w:rPr>
                <w:rFonts w:asciiTheme="minorHAnsi" w:eastAsiaTheme="minorEastAsia" w:hAnsiTheme="minorHAnsi" w:cstheme="minorBidi"/>
                <w:sz w:val="22"/>
                <w:szCs w:val="22"/>
              </w:rPr>
              <w:t>*</w:t>
            </w:r>
            <w:r w:rsidRPr="42ABBDCE">
              <w:rPr>
                <w:rFonts w:asciiTheme="minorHAnsi" w:eastAsiaTheme="minorEastAsia" w:hAnsiTheme="minorHAnsi" w:cstheme="minorBidi"/>
                <w:i/>
                <w:iCs/>
                <w:sz w:val="22"/>
                <w:szCs w:val="22"/>
              </w:rPr>
              <w:t xml:space="preserve">Consider disclosures required in terms of Schedule </w:t>
            </w:r>
            <w:r w:rsidR="00D25D64" w:rsidRPr="42ABBDCE">
              <w:rPr>
                <w:rFonts w:asciiTheme="minorHAnsi" w:eastAsiaTheme="minorEastAsia" w:hAnsiTheme="minorHAnsi" w:cstheme="minorBidi"/>
                <w:i/>
                <w:iCs/>
                <w:sz w:val="22"/>
                <w:szCs w:val="22"/>
              </w:rPr>
              <w:t>9: 1</w:t>
            </w:r>
            <w:r w:rsidRPr="42ABBDCE">
              <w:rPr>
                <w:rFonts w:asciiTheme="minorHAnsi" w:eastAsiaTheme="minorEastAsia" w:hAnsiTheme="minorHAnsi" w:cstheme="minorBidi"/>
                <w:i/>
                <w:iCs/>
                <w:sz w:val="22"/>
                <w:szCs w:val="22"/>
              </w:rPr>
              <w:t>.3 (e) &amp; 1.8</w:t>
            </w:r>
          </w:p>
          <w:p w14:paraId="0B13ED10"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(g)</w:t>
            </w:r>
            <w:r w:rsidRPr="004870BB">
              <w:rPr>
                <w:rFonts w:ascii="Arial" w:hAnsi="Arial" w:cs="Arial"/>
                <w:sz w:val="20"/>
              </w:rPr>
              <w:tab/>
            </w:r>
            <w:r w:rsidRPr="42ABBDCE">
              <w:rPr>
                <w:rFonts w:asciiTheme="minorHAnsi" w:eastAsiaTheme="minorEastAsia" w:hAnsiTheme="minorHAnsi" w:cstheme="minorBidi"/>
                <w:sz w:val="22"/>
                <w:szCs w:val="22"/>
              </w:rPr>
              <w:t xml:space="preserve">individual directors’ remuneration and benefits, including directors who have resigned during the reporting period, in A.3 of Section 10 for the current and immediately preceding financial </w:t>
            </w:r>
            <w:proofErr w:type="gramStart"/>
            <w:r w:rsidRPr="42ABBDCE">
              <w:rPr>
                <w:rFonts w:asciiTheme="minorHAnsi" w:eastAsiaTheme="minorEastAsia" w:hAnsiTheme="minorHAnsi" w:cstheme="minorBidi"/>
                <w:sz w:val="22"/>
                <w:szCs w:val="22"/>
              </w:rPr>
              <w:t>year;</w:t>
            </w:r>
            <w:proofErr w:type="gramEnd"/>
          </w:p>
          <w:p w14:paraId="167A3237" w14:textId="77777777" w:rsidR="008661C0" w:rsidRPr="004870BB" w:rsidRDefault="008661C0" w:rsidP="42ABBDCE">
            <w:pPr>
              <w:tabs>
                <w:tab w:val="left" w:pos="794"/>
                <w:tab w:val="left" w:pos="1304"/>
              </w:tabs>
              <w:ind w:left="1304" w:hanging="1304"/>
              <w:rPr>
                <w:rFonts w:asciiTheme="minorHAnsi" w:eastAsiaTheme="minorEastAsia" w:hAnsiTheme="minorHAnsi" w:cstheme="minorBidi"/>
                <w:sz w:val="22"/>
                <w:szCs w:val="22"/>
              </w:rPr>
            </w:pPr>
            <w:r w:rsidRPr="004870BB">
              <w:rPr>
                <w:rFonts w:ascii="Arial" w:hAnsi="Arial" w:cs="Arial"/>
                <w:sz w:val="20"/>
                <w:szCs w:val="20"/>
              </w:rPr>
              <w:tab/>
            </w:r>
            <w:r w:rsidRPr="42ABBDCE">
              <w:rPr>
                <w:rFonts w:asciiTheme="minorHAnsi" w:eastAsiaTheme="minorEastAsia" w:hAnsiTheme="minorHAnsi" w:cstheme="minorBidi"/>
                <w:sz w:val="22"/>
                <w:szCs w:val="22"/>
              </w:rPr>
              <w:t>(h)</w:t>
            </w:r>
            <w:r w:rsidRPr="004870BB">
              <w:rPr>
                <w:rFonts w:ascii="Arial" w:hAnsi="Arial" w:cs="Arial"/>
                <w:sz w:val="20"/>
                <w:szCs w:val="20"/>
              </w:rPr>
              <w:tab/>
            </w:r>
            <w:r w:rsidRPr="42ABBDCE">
              <w:rPr>
                <w:rFonts w:asciiTheme="minorHAnsi" w:eastAsiaTheme="minorEastAsia" w:hAnsiTheme="minorHAnsi" w:cstheme="minorBidi"/>
                <w:sz w:val="22"/>
                <w:szCs w:val="22"/>
              </w:rPr>
              <w:t xml:space="preserve">material changes to initial estimates of a contingent consideration payable/ receivable, in terms of </w:t>
            </w:r>
            <w:proofErr w:type="gramStart"/>
            <w:r w:rsidRPr="42ABBDCE">
              <w:rPr>
                <w:rFonts w:asciiTheme="minorHAnsi" w:eastAsiaTheme="minorEastAsia" w:hAnsiTheme="minorHAnsi" w:cstheme="minorBidi"/>
                <w:sz w:val="22"/>
                <w:szCs w:val="22"/>
              </w:rPr>
              <w:t>an acquisition</w:t>
            </w:r>
            <w:proofErr w:type="gramEnd"/>
            <w:r w:rsidRPr="42ABBDCE">
              <w:rPr>
                <w:rFonts w:asciiTheme="minorHAnsi" w:eastAsiaTheme="minorEastAsia" w:hAnsiTheme="minorHAnsi" w:cstheme="minorBidi"/>
                <w:sz w:val="22"/>
                <w:szCs w:val="22"/>
              </w:rPr>
              <w:t xml:space="preserve"> or disposal, as used in any previously published pro forma financial </w:t>
            </w:r>
            <w:proofErr w:type="gramStart"/>
            <w:r w:rsidRPr="42ABBDCE">
              <w:rPr>
                <w:rFonts w:asciiTheme="minorHAnsi" w:eastAsiaTheme="minorEastAsia" w:hAnsiTheme="minorHAnsi" w:cstheme="minorBidi"/>
                <w:sz w:val="22"/>
                <w:szCs w:val="22"/>
              </w:rPr>
              <w:t>effects;</w:t>
            </w:r>
            <w:proofErr w:type="gramEnd"/>
          </w:p>
          <w:p w14:paraId="68E532AF"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w:t>
            </w:r>
            <w:r w:rsidRPr="004870BB">
              <w:rPr>
                <w:rFonts w:ascii="Arial" w:hAnsi="Arial" w:cs="Arial"/>
                <w:sz w:val="20"/>
              </w:rPr>
              <w:tab/>
            </w:r>
            <w:r w:rsidRPr="42ABBDCE">
              <w:rPr>
                <w:rFonts w:asciiTheme="minorHAnsi" w:eastAsiaTheme="minorEastAsia" w:hAnsiTheme="minorHAnsi" w:cstheme="minorBidi"/>
                <w:sz w:val="22"/>
                <w:szCs w:val="22"/>
              </w:rPr>
              <w:t xml:space="preserve">details of all issues of securities made during the year, distinguishing between general and specific issues, and including, the number of securities issued, the issue price and, in the event of a specific issue to non-public shareholders, to whom they were </w:t>
            </w:r>
            <w:proofErr w:type="gramStart"/>
            <w:r w:rsidRPr="42ABBDCE">
              <w:rPr>
                <w:rFonts w:asciiTheme="minorHAnsi" w:eastAsiaTheme="minorEastAsia" w:hAnsiTheme="minorHAnsi" w:cstheme="minorBidi"/>
                <w:sz w:val="22"/>
                <w:szCs w:val="22"/>
              </w:rPr>
              <w:t>issued;</w:t>
            </w:r>
            <w:proofErr w:type="gramEnd"/>
            <w:r w:rsidRPr="42ABBDCE">
              <w:rPr>
                <w:rFonts w:asciiTheme="minorHAnsi" w:eastAsiaTheme="minorEastAsia" w:hAnsiTheme="minorHAnsi" w:cstheme="minorBidi"/>
                <w:sz w:val="22"/>
                <w:szCs w:val="22"/>
              </w:rPr>
              <w:t xml:space="preserve"> </w:t>
            </w:r>
          </w:p>
          <w:p w14:paraId="3BD64116"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(j)</w:t>
            </w:r>
            <w:r w:rsidRPr="004870BB">
              <w:rPr>
                <w:rFonts w:ascii="Arial" w:hAnsi="Arial" w:cs="Arial"/>
                <w:sz w:val="20"/>
              </w:rPr>
              <w:tab/>
            </w:r>
            <w:r w:rsidRPr="42ABBDCE">
              <w:rPr>
                <w:rFonts w:asciiTheme="minorHAnsi" w:eastAsiaTheme="minorEastAsia" w:hAnsiTheme="minorHAnsi" w:cstheme="minorBidi"/>
                <w:sz w:val="22"/>
                <w:szCs w:val="22"/>
              </w:rPr>
              <w:t>details of repurchases by an issuer/subsidiary of its own equity securities (in accordance with section 48 of the Act) during the period under review:</w:t>
            </w:r>
          </w:p>
          <w:p w14:paraId="258BB6D8" w14:textId="77777777" w:rsidR="008661C0" w:rsidRPr="004870BB" w:rsidRDefault="008661C0" w:rsidP="42ABBDCE">
            <w:pPr>
              <w:pStyle w:val="i-0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w:t>
            </w:r>
            <w:r w:rsidRPr="004870BB">
              <w:rPr>
                <w:rFonts w:ascii="Arial" w:hAnsi="Arial" w:cs="Arial"/>
                <w:sz w:val="20"/>
              </w:rPr>
              <w:tab/>
            </w:r>
            <w:r w:rsidRPr="42ABBDCE">
              <w:rPr>
                <w:rFonts w:asciiTheme="minorHAnsi" w:eastAsiaTheme="minorEastAsia" w:hAnsiTheme="minorHAnsi" w:cstheme="minorBidi"/>
                <w:sz w:val="22"/>
                <w:szCs w:val="22"/>
              </w:rPr>
              <w:t>the total number of equity securities repurchased detailing the:</w:t>
            </w:r>
          </w:p>
          <w:p w14:paraId="7BF24BBD" w14:textId="77777777" w:rsidR="008661C0" w:rsidRPr="004870BB" w:rsidRDefault="008661C0" w:rsidP="42ABBDCE">
            <w:pPr>
              <w:pStyle w:val="000aia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(aa)</w:t>
            </w:r>
            <w:r w:rsidRPr="004870BB">
              <w:rPr>
                <w:rFonts w:ascii="Arial" w:hAnsi="Arial" w:cs="Arial"/>
                <w:sz w:val="20"/>
              </w:rPr>
              <w:tab/>
            </w:r>
            <w:r w:rsidRPr="42ABBDCE">
              <w:rPr>
                <w:rFonts w:asciiTheme="minorHAnsi" w:eastAsiaTheme="minorEastAsia" w:hAnsiTheme="minorHAnsi" w:cstheme="minorBidi"/>
                <w:sz w:val="22"/>
                <w:szCs w:val="22"/>
              </w:rPr>
              <w:t xml:space="preserve">number repurchased by a </w:t>
            </w:r>
            <w:proofErr w:type="gramStart"/>
            <w:r w:rsidRPr="42ABBDCE">
              <w:rPr>
                <w:rFonts w:asciiTheme="minorHAnsi" w:eastAsiaTheme="minorEastAsia" w:hAnsiTheme="minorHAnsi" w:cstheme="minorBidi"/>
                <w:sz w:val="22"/>
                <w:szCs w:val="22"/>
              </w:rPr>
              <w:t>subsidiary;</w:t>
            </w:r>
            <w:proofErr w:type="gramEnd"/>
          </w:p>
          <w:p w14:paraId="1950989C" w14:textId="77777777" w:rsidR="008661C0" w:rsidRPr="004870BB" w:rsidRDefault="008661C0" w:rsidP="42ABBDCE">
            <w:pPr>
              <w:pStyle w:val="000aia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(bb)</w:t>
            </w:r>
            <w:r w:rsidRPr="004870BB">
              <w:rPr>
                <w:rFonts w:ascii="Arial" w:hAnsi="Arial" w:cs="Arial"/>
                <w:sz w:val="20"/>
              </w:rPr>
              <w:tab/>
            </w:r>
            <w:r w:rsidRPr="42ABBDCE">
              <w:rPr>
                <w:rFonts w:asciiTheme="minorHAnsi" w:eastAsiaTheme="minorEastAsia" w:hAnsiTheme="minorHAnsi" w:cstheme="minorBidi"/>
                <w:sz w:val="22"/>
                <w:szCs w:val="22"/>
              </w:rPr>
              <w:t>number reverted to authorised but unissued equity securities of the issuer in accordance with section 35(5) of the Act and distinguishing between the number acquired by the issuer from treasury shares; and</w:t>
            </w:r>
          </w:p>
          <w:p w14:paraId="43FB5165" w14:textId="77777777" w:rsidR="008661C0" w:rsidRPr="004870BB" w:rsidRDefault="008661C0" w:rsidP="42ABBDCE">
            <w:pPr>
              <w:pStyle w:val="000aia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(cc)</w:t>
            </w:r>
            <w:r w:rsidRPr="004870BB">
              <w:rPr>
                <w:rFonts w:ascii="Arial" w:hAnsi="Arial" w:cs="Arial"/>
                <w:sz w:val="20"/>
              </w:rPr>
              <w:tab/>
            </w:r>
            <w:r w:rsidRPr="42ABBDCE">
              <w:rPr>
                <w:rFonts w:asciiTheme="minorHAnsi" w:eastAsiaTheme="minorEastAsia" w:hAnsiTheme="minorHAnsi" w:cstheme="minorBidi"/>
                <w:sz w:val="22"/>
                <w:szCs w:val="22"/>
              </w:rPr>
              <w:t>average price paid for the repurchased equity securities.</w:t>
            </w:r>
          </w:p>
          <w:p w14:paraId="1B6E566D"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bookmarkStart w:id="1" w:name="_Hlk177564316"/>
            <w:r w:rsidRPr="42ABBDCE">
              <w:rPr>
                <w:rFonts w:asciiTheme="minorHAnsi" w:eastAsiaTheme="minorEastAsia" w:hAnsiTheme="minorHAnsi" w:cstheme="minorBidi"/>
                <w:sz w:val="22"/>
                <w:szCs w:val="22"/>
              </w:rPr>
              <w:t>(k)</w:t>
            </w:r>
            <w:r w:rsidRPr="004870BB">
              <w:rPr>
                <w:rFonts w:ascii="Arial" w:hAnsi="Arial" w:cs="Arial"/>
                <w:sz w:val="20"/>
              </w:rPr>
              <w:tab/>
            </w:r>
            <w:r w:rsidRPr="42ABBDCE">
              <w:rPr>
                <w:rFonts w:asciiTheme="minorHAnsi" w:eastAsiaTheme="minorEastAsia" w:hAnsiTheme="minorHAnsi" w:cstheme="minorBidi"/>
                <w:sz w:val="22"/>
                <w:szCs w:val="22"/>
              </w:rPr>
              <w:t xml:space="preserve">for a property entity, the information set out in </w:t>
            </w:r>
            <w:proofErr w:type="gramStart"/>
            <w:r w:rsidRPr="42ABBDCE">
              <w:rPr>
                <w:rFonts w:asciiTheme="minorHAnsi" w:eastAsiaTheme="minorEastAsia" w:hAnsiTheme="minorHAnsi" w:cstheme="minorBidi"/>
                <w:sz w:val="22"/>
                <w:szCs w:val="22"/>
              </w:rPr>
              <w:t>13.24;</w:t>
            </w:r>
            <w:proofErr w:type="gramEnd"/>
          </w:p>
          <w:bookmarkEnd w:id="1"/>
          <w:p w14:paraId="72F6590E"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(l)</w:t>
            </w:r>
            <w:r w:rsidRPr="004870BB">
              <w:rPr>
                <w:rFonts w:ascii="Arial" w:hAnsi="Arial" w:cs="Arial"/>
                <w:sz w:val="20"/>
              </w:rPr>
              <w:tab/>
            </w:r>
            <w:r w:rsidRPr="42ABBDCE">
              <w:rPr>
                <w:rFonts w:asciiTheme="minorHAnsi" w:eastAsiaTheme="minorEastAsia" w:hAnsiTheme="minorHAnsi" w:cstheme="minorBidi"/>
                <w:sz w:val="22"/>
                <w:szCs w:val="22"/>
              </w:rPr>
              <w:t xml:space="preserve">for an investment entity, the information set out in </w:t>
            </w:r>
            <w:proofErr w:type="gramStart"/>
            <w:r w:rsidRPr="42ABBDCE">
              <w:rPr>
                <w:rFonts w:asciiTheme="minorHAnsi" w:eastAsiaTheme="minorEastAsia" w:hAnsiTheme="minorHAnsi" w:cstheme="minorBidi"/>
                <w:sz w:val="22"/>
                <w:szCs w:val="22"/>
              </w:rPr>
              <w:t>15.8;</w:t>
            </w:r>
            <w:proofErr w:type="gramEnd"/>
          </w:p>
          <w:p w14:paraId="6FC35689" w14:textId="77777777" w:rsidR="008661C0" w:rsidRPr="004870BB" w:rsidRDefault="008661C0" w:rsidP="42ABBDCE">
            <w:pPr>
              <w:pStyle w:val="a-0000"/>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(m)</w:t>
            </w:r>
            <w:r w:rsidRPr="004870BB">
              <w:rPr>
                <w:rFonts w:ascii="Arial" w:hAnsi="Arial" w:cs="Arial"/>
                <w:sz w:val="20"/>
              </w:rPr>
              <w:tab/>
            </w:r>
            <w:r w:rsidRPr="42ABBDCE">
              <w:rPr>
                <w:rFonts w:asciiTheme="minorHAnsi" w:eastAsiaTheme="minorEastAsia" w:hAnsiTheme="minorHAnsi" w:cstheme="minorBidi"/>
                <w:sz w:val="22"/>
                <w:szCs w:val="22"/>
              </w:rPr>
              <w:t>any restrictive funding arrangements undertaken by an issuer and/or any of its subsidiaries including the following details:</w:t>
            </w:r>
          </w:p>
          <w:p w14:paraId="33DBA7B4" w14:textId="77777777" w:rsidR="008661C0" w:rsidRPr="004870BB" w:rsidRDefault="008661C0" w:rsidP="42ABBDCE">
            <w:pPr>
              <w:pStyle w:val="1-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w:t>
            </w:r>
            <w:r w:rsidRPr="004870BB">
              <w:rPr>
                <w:rFonts w:ascii="Arial" w:hAnsi="Arial" w:cs="Arial"/>
                <w:sz w:val="20"/>
              </w:rPr>
              <w:tab/>
            </w:r>
            <w:r w:rsidRPr="42ABBDCE">
              <w:rPr>
                <w:rFonts w:asciiTheme="minorHAnsi" w:eastAsiaTheme="minorEastAsia" w:hAnsiTheme="minorHAnsi" w:cstheme="minorBidi"/>
                <w:sz w:val="22"/>
                <w:szCs w:val="22"/>
              </w:rPr>
              <w:t xml:space="preserve">the restriction(s) on specified events attaching to the funding </w:t>
            </w:r>
            <w:proofErr w:type="gramStart"/>
            <w:r w:rsidRPr="42ABBDCE">
              <w:rPr>
                <w:rFonts w:asciiTheme="minorHAnsi" w:eastAsiaTheme="minorEastAsia" w:hAnsiTheme="minorHAnsi" w:cstheme="minorBidi"/>
                <w:sz w:val="22"/>
                <w:szCs w:val="22"/>
              </w:rPr>
              <w:t>arrangement;</w:t>
            </w:r>
            <w:proofErr w:type="gramEnd"/>
          </w:p>
          <w:p w14:paraId="0CBD6774" w14:textId="77777777" w:rsidR="008661C0" w:rsidRPr="004870BB" w:rsidRDefault="008661C0" w:rsidP="42ABBDCE">
            <w:pPr>
              <w:pStyle w:val="1-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(ii)</w:t>
            </w:r>
            <w:r w:rsidRPr="004870BB">
              <w:rPr>
                <w:rFonts w:ascii="Arial" w:hAnsi="Arial" w:cs="Arial"/>
                <w:sz w:val="20"/>
              </w:rPr>
              <w:tab/>
            </w:r>
            <w:r w:rsidRPr="42ABBDCE">
              <w:rPr>
                <w:rFonts w:asciiTheme="minorHAnsi" w:eastAsiaTheme="minorEastAsia" w:hAnsiTheme="minorHAnsi" w:cstheme="minorBidi"/>
                <w:sz w:val="22"/>
                <w:szCs w:val="22"/>
              </w:rPr>
              <w:t>the funding provider(s); and</w:t>
            </w:r>
          </w:p>
          <w:p w14:paraId="5936966B" w14:textId="77777777" w:rsidR="008661C0" w:rsidRPr="004870BB" w:rsidRDefault="008661C0" w:rsidP="42ABBDCE">
            <w:pPr>
              <w:pStyle w:val="1-000a"/>
              <w:rPr>
                <w:rFonts w:asciiTheme="minorHAnsi" w:eastAsiaTheme="minorEastAsia" w:hAnsiTheme="minorHAnsi" w:cstheme="minorBidi"/>
                <w:sz w:val="22"/>
                <w:szCs w:val="22"/>
              </w:rPr>
            </w:pPr>
            <w:r w:rsidRPr="004870BB">
              <w:rPr>
                <w:rFonts w:ascii="Arial" w:hAnsi="Arial" w:cs="Arial"/>
                <w:sz w:val="20"/>
              </w:rPr>
              <w:tab/>
            </w:r>
            <w:r w:rsidRPr="42ABBDCE">
              <w:rPr>
                <w:rFonts w:asciiTheme="minorHAnsi" w:eastAsiaTheme="minorEastAsia" w:hAnsiTheme="minorHAnsi" w:cstheme="minorBidi"/>
                <w:sz w:val="22"/>
                <w:szCs w:val="22"/>
              </w:rPr>
              <w:t>(iii)</w:t>
            </w:r>
            <w:r w:rsidRPr="004870BB">
              <w:rPr>
                <w:rFonts w:ascii="Arial" w:hAnsi="Arial" w:cs="Arial"/>
                <w:bCs/>
                <w:sz w:val="20"/>
              </w:rPr>
              <w:tab/>
            </w:r>
            <w:r w:rsidRPr="42ABBDCE">
              <w:rPr>
                <w:rFonts w:asciiTheme="minorHAnsi" w:eastAsiaTheme="minorEastAsia" w:hAnsiTheme="minorHAnsi" w:cstheme="minorBidi"/>
                <w:sz w:val="22"/>
                <w:szCs w:val="22"/>
              </w:rPr>
              <w:t>the amount of the funding.</w:t>
            </w:r>
          </w:p>
          <w:p w14:paraId="1E357970" w14:textId="77777777" w:rsidR="008661C0" w:rsidRPr="004870BB" w:rsidRDefault="008661C0" w:rsidP="42ABBDCE">
            <w:pPr>
              <w:pStyle w:val="head1"/>
              <w:spacing w:before="120"/>
              <w:ind w:left="720"/>
              <w:rPr>
                <w:rFonts w:asciiTheme="minorHAnsi" w:eastAsiaTheme="minorEastAsia" w:hAnsiTheme="minorHAnsi" w:cstheme="minorBidi"/>
                <w:b w:val="0"/>
                <w:sz w:val="22"/>
                <w:szCs w:val="22"/>
              </w:rPr>
            </w:pPr>
            <w:r w:rsidRPr="42ABBDCE">
              <w:rPr>
                <w:rFonts w:asciiTheme="minorHAnsi" w:eastAsiaTheme="minorEastAsia" w:hAnsiTheme="minorHAnsi" w:cstheme="minorBidi"/>
                <w:b w:val="0"/>
                <w:sz w:val="22"/>
                <w:szCs w:val="22"/>
              </w:rPr>
              <w:t>The information in 11.37(a), (d), (e), (k), (l) and (m) can be presented outside of the information on which the auditor issues their audit opinion.</w:t>
            </w:r>
          </w:p>
          <w:p w14:paraId="5A637F7B" w14:textId="77777777" w:rsidR="008661C0" w:rsidRPr="004870BB" w:rsidDel="004E375D" w:rsidRDefault="008661C0" w:rsidP="42ABBDCE">
            <w:pPr>
              <w:rPr>
                <w:rFonts w:asciiTheme="minorHAnsi" w:eastAsiaTheme="minorEastAsia" w:hAnsiTheme="minorHAnsi" w:cstheme="minorBidi"/>
                <w:sz w:val="22"/>
                <w:szCs w:val="22"/>
              </w:rPr>
            </w:pPr>
          </w:p>
        </w:tc>
      </w:tr>
      <w:tr w:rsidR="00763B2F" w:rsidRPr="004870BB" w:rsidDel="004E375D" w14:paraId="6DCBBE19" w14:textId="5EA300A0" w:rsidTr="42ABBDCE">
        <w:tc>
          <w:tcPr>
            <w:tcW w:w="567" w:type="dxa"/>
          </w:tcPr>
          <w:p w14:paraId="29443F87"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3A45DBEF" w14:textId="625ED72B"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11.37(b)</w:t>
            </w:r>
          </w:p>
        </w:tc>
        <w:tc>
          <w:tcPr>
            <w:tcW w:w="3533" w:type="dxa"/>
          </w:tcPr>
          <w:p w14:paraId="25133B04"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2E5BD64A" w14:textId="77777777" w:rsidR="008661C0" w:rsidRPr="004870BB" w:rsidDel="004E375D" w:rsidRDefault="008661C0" w:rsidP="00D03073">
            <w:pPr>
              <w:rPr>
                <w:rFonts w:ascii="Arial" w:hAnsi="Arial" w:cs="Arial"/>
                <w:iCs/>
                <w:sz w:val="20"/>
                <w:szCs w:val="20"/>
              </w:rPr>
            </w:pPr>
          </w:p>
        </w:tc>
      </w:tr>
      <w:tr w:rsidR="00763B2F" w:rsidRPr="004870BB" w:rsidDel="004E375D" w14:paraId="2F844D98" w14:textId="2A640DB6" w:rsidTr="42ABBDCE">
        <w:tc>
          <w:tcPr>
            <w:tcW w:w="567" w:type="dxa"/>
          </w:tcPr>
          <w:p w14:paraId="3C48C762"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4F15CFA5" w14:textId="6E02F771"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11.37(c)(i)</w:t>
            </w:r>
          </w:p>
        </w:tc>
        <w:tc>
          <w:tcPr>
            <w:tcW w:w="3533" w:type="dxa"/>
          </w:tcPr>
          <w:p w14:paraId="12CBCD01"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5B6ED0CA" w14:textId="77777777" w:rsidR="008661C0" w:rsidRPr="004870BB" w:rsidDel="004E375D" w:rsidRDefault="008661C0" w:rsidP="00D03073">
            <w:pPr>
              <w:rPr>
                <w:rFonts w:ascii="Arial" w:hAnsi="Arial" w:cs="Arial"/>
                <w:iCs/>
                <w:sz w:val="20"/>
                <w:szCs w:val="20"/>
              </w:rPr>
            </w:pPr>
          </w:p>
        </w:tc>
      </w:tr>
      <w:tr w:rsidR="00763B2F" w:rsidRPr="004870BB" w:rsidDel="004E375D" w14:paraId="5FCAF835" w14:textId="1F47BA49" w:rsidTr="42ABBDCE">
        <w:tc>
          <w:tcPr>
            <w:tcW w:w="567" w:type="dxa"/>
          </w:tcPr>
          <w:p w14:paraId="7DA627D2"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6A52AC08" w14:textId="582D105F"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11.37(c)(ii)</w:t>
            </w:r>
          </w:p>
        </w:tc>
        <w:tc>
          <w:tcPr>
            <w:tcW w:w="3533" w:type="dxa"/>
          </w:tcPr>
          <w:p w14:paraId="009E9BC8"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1DC24E80" w14:textId="77777777" w:rsidR="008661C0" w:rsidRPr="004870BB" w:rsidDel="004E375D" w:rsidRDefault="008661C0" w:rsidP="00D03073">
            <w:pPr>
              <w:rPr>
                <w:rFonts w:ascii="Arial" w:hAnsi="Arial" w:cs="Arial"/>
                <w:iCs/>
                <w:sz w:val="20"/>
                <w:szCs w:val="20"/>
              </w:rPr>
            </w:pPr>
          </w:p>
        </w:tc>
      </w:tr>
      <w:tr w:rsidR="00763B2F" w:rsidRPr="004870BB" w:rsidDel="004E375D" w14:paraId="7500BB83" w14:textId="50CEF3E2" w:rsidTr="42ABBDCE">
        <w:tc>
          <w:tcPr>
            <w:tcW w:w="567" w:type="dxa"/>
          </w:tcPr>
          <w:p w14:paraId="5BD5F625"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3A50DF4E" w14:textId="57FB91ED"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11.37(d)</w:t>
            </w:r>
          </w:p>
        </w:tc>
        <w:tc>
          <w:tcPr>
            <w:tcW w:w="3533" w:type="dxa"/>
          </w:tcPr>
          <w:p w14:paraId="4B938276"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2E6F168B" w14:textId="77777777" w:rsidR="008661C0" w:rsidRPr="004870BB" w:rsidDel="004E375D" w:rsidRDefault="008661C0" w:rsidP="00D03073">
            <w:pPr>
              <w:rPr>
                <w:rFonts w:ascii="Arial" w:hAnsi="Arial" w:cs="Arial"/>
                <w:iCs/>
                <w:sz w:val="20"/>
                <w:szCs w:val="20"/>
              </w:rPr>
            </w:pPr>
          </w:p>
        </w:tc>
      </w:tr>
      <w:tr w:rsidR="00763B2F" w:rsidRPr="004870BB" w:rsidDel="004E375D" w14:paraId="471598E6" w14:textId="710E2E2D" w:rsidTr="42ABBDCE">
        <w:tc>
          <w:tcPr>
            <w:tcW w:w="567" w:type="dxa"/>
          </w:tcPr>
          <w:p w14:paraId="01A19CD6"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300A5E56" w14:textId="452FC2E2" w:rsidR="008661C0" w:rsidRPr="004870BB" w:rsidRDefault="008661C0" w:rsidP="008715A2">
            <w:pPr>
              <w:rPr>
                <w:rFonts w:asciiTheme="minorHAnsi" w:eastAsiaTheme="minorEastAsia" w:hAnsiTheme="minorHAnsi" w:cstheme="minorBidi"/>
                <w:b/>
                <w:bCs/>
                <w:sz w:val="22"/>
                <w:szCs w:val="22"/>
              </w:rPr>
            </w:pPr>
            <w:r w:rsidRPr="42ABBDCE">
              <w:rPr>
                <w:rFonts w:asciiTheme="minorHAnsi" w:eastAsiaTheme="minorEastAsia" w:hAnsiTheme="minorHAnsi" w:cstheme="minorBidi"/>
                <w:sz w:val="22"/>
                <w:szCs w:val="22"/>
              </w:rPr>
              <w:t>11.37(e)(i)</w:t>
            </w:r>
          </w:p>
        </w:tc>
        <w:tc>
          <w:tcPr>
            <w:tcW w:w="3533" w:type="dxa"/>
          </w:tcPr>
          <w:p w14:paraId="18D1E39C"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480E69AF" w14:textId="77777777" w:rsidR="008661C0" w:rsidRPr="004870BB" w:rsidDel="004E375D" w:rsidRDefault="008661C0" w:rsidP="004D45B1">
            <w:pPr>
              <w:rPr>
                <w:rFonts w:ascii="Arial" w:hAnsi="Arial" w:cs="Arial"/>
                <w:iCs/>
                <w:sz w:val="20"/>
                <w:szCs w:val="20"/>
              </w:rPr>
            </w:pPr>
          </w:p>
        </w:tc>
      </w:tr>
      <w:tr w:rsidR="00763B2F" w:rsidRPr="004870BB" w:rsidDel="004E375D" w14:paraId="64CE5DFC" w14:textId="340E10E3" w:rsidTr="42ABBDCE">
        <w:tc>
          <w:tcPr>
            <w:tcW w:w="567" w:type="dxa"/>
          </w:tcPr>
          <w:p w14:paraId="22977ABF"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284CC29C" w14:textId="3A499C0A"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11.37(e)(ii)</w:t>
            </w:r>
          </w:p>
        </w:tc>
        <w:tc>
          <w:tcPr>
            <w:tcW w:w="3533" w:type="dxa"/>
          </w:tcPr>
          <w:p w14:paraId="23D2B09E"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1AAA9475" w14:textId="77777777" w:rsidR="008661C0" w:rsidRPr="004870BB" w:rsidDel="004E375D" w:rsidRDefault="008661C0" w:rsidP="004D45B1">
            <w:pPr>
              <w:rPr>
                <w:rFonts w:ascii="Arial" w:hAnsi="Arial" w:cs="Arial"/>
                <w:iCs/>
                <w:sz w:val="20"/>
                <w:szCs w:val="20"/>
              </w:rPr>
            </w:pPr>
          </w:p>
        </w:tc>
      </w:tr>
      <w:tr w:rsidR="00763B2F" w:rsidRPr="004870BB" w:rsidDel="004E375D" w14:paraId="0EED8D7D" w14:textId="14217D2C" w:rsidTr="42ABBDCE">
        <w:tc>
          <w:tcPr>
            <w:tcW w:w="567" w:type="dxa"/>
          </w:tcPr>
          <w:p w14:paraId="4F80635C"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0B70A8A7" w14:textId="5484E222"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11.37(f)</w:t>
            </w:r>
          </w:p>
        </w:tc>
        <w:tc>
          <w:tcPr>
            <w:tcW w:w="3533" w:type="dxa"/>
          </w:tcPr>
          <w:p w14:paraId="7C02B52E"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63CBC012" w14:textId="77777777" w:rsidR="008661C0" w:rsidRPr="004870BB" w:rsidDel="004E375D" w:rsidRDefault="008661C0" w:rsidP="004D45B1">
            <w:pPr>
              <w:rPr>
                <w:rFonts w:ascii="Arial" w:hAnsi="Arial" w:cs="Arial"/>
                <w:iCs/>
                <w:sz w:val="20"/>
                <w:szCs w:val="20"/>
              </w:rPr>
            </w:pPr>
          </w:p>
        </w:tc>
      </w:tr>
      <w:tr w:rsidR="00763B2F" w:rsidRPr="004870BB" w:rsidDel="004E375D" w14:paraId="0341AF27" w14:textId="329A8156" w:rsidTr="42ABBDCE">
        <w:tc>
          <w:tcPr>
            <w:tcW w:w="567" w:type="dxa"/>
          </w:tcPr>
          <w:p w14:paraId="5BF87C6A"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66C9CF9D" w14:textId="23A5B2BA"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11.37(g)</w:t>
            </w:r>
          </w:p>
        </w:tc>
        <w:tc>
          <w:tcPr>
            <w:tcW w:w="3533" w:type="dxa"/>
          </w:tcPr>
          <w:p w14:paraId="672EA375"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6C60833A" w14:textId="77777777" w:rsidR="008661C0" w:rsidRPr="004870BB" w:rsidDel="004E375D" w:rsidRDefault="008661C0" w:rsidP="004D45B1">
            <w:pPr>
              <w:rPr>
                <w:rFonts w:ascii="Arial" w:hAnsi="Arial" w:cs="Arial"/>
                <w:iCs/>
                <w:sz w:val="20"/>
                <w:szCs w:val="20"/>
              </w:rPr>
            </w:pPr>
          </w:p>
        </w:tc>
      </w:tr>
      <w:tr w:rsidR="00763B2F" w:rsidRPr="004870BB" w:rsidDel="004E375D" w14:paraId="11CFD12C" w14:textId="79D6F809" w:rsidTr="42ABBDCE">
        <w:tc>
          <w:tcPr>
            <w:tcW w:w="567" w:type="dxa"/>
          </w:tcPr>
          <w:p w14:paraId="0255E5D7"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345F2965" w14:textId="2EE43A23"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11.37(h)</w:t>
            </w:r>
          </w:p>
        </w:tc>
        <w:tc>
          <w:tcPr>
            <w:tcW w:w="3533" w:type="dxa"/>
          </w:tcPr>
          <w:p w14:paraId="41C3DBB0"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46F65F30" w14:textId="77777777" w:rsidR="008661C0" w:rsidRPr="004870BB" w:rsidDel="004E375D" w:rsidRDefault="008661C0" w:rsidP="004D45B1">
            <w:pPr>
              <w:rPr>
                <w:rFonts w:ascii="Arial" w:hAnsi="Arial" w:cs="Arial"/>
                <w:iCs/>
                <w:sz w:val="20"/>
                <w:szCs w:val="20"/>
              </w:rPr>
            </w:pPr>
          </w:p>
        </w:tc>
      </w:tr>
      <w:tr w:rsidR="00763B2F" w:rsidRPr="004870BB" w:rsidDel="004E375D" w14:paraId="50DBD434" w14:textId="3DE8F388" w:rsidTr="42ABBDCE">
        <w:tc>
          <w:tcPr>
            <w:tcW w:w="567" w:type="dxa"/>
          </w:tcPr>
          <w:p w14:paraId="09E91103"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4D3E4927" w14:textId="7BB7C572" w:rsidR="008661C0" w:rsidRPr="004870BB" w:rsidRDefault="008661C0" w:rsidP="008715A2">
            <w:pPr>
              <w:rPr>
                <w:rFonts w:asciiTheme="minorHAnsi" w:eastAsiaTheme="minorEastAsia" w:hAnsiTheme="minorHAnsi" w:cstheme="minorBidi"/>
                <w:b/>
                <w:bCs/>
                <w:sz w:val="22"/>
                <w:szCs w:val="22"/>
              </w:rPr>
            </w:pPr>
            <w:r w:rsidRPr="42ABBDCE">
              <w:rPr>
                <w:rFonts w:asciiTheme="minorHAnsi" w:eastAsiaTheme="minorEastAsia" w:hAnsiTheme="minorHAnsi" w:cstheme="minorBidi"/>
                <w:sz w:val="22"/>
                <w:szCs w:val="22"/>
              </w:rPr>
              <w:t>11.37(i)</w:t>
            </w:r>
          </w:p>
        </w:tc>
        <w:tc>
          <w:tcPr>
            <w:tcW w:w="3533" w:type="dxa"/>
          </w:tcPr>
          <w:p w14:paraId="69893C51"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2CD36B65" w14:textId="77777777" w:rsidR="008661C0" w:rsidRPr="004870BB" w:rsidDel="004E375D" w:rsidRDefault="008661C0" w:rsidP="004D45B1">
            <w:pPr>
              <w:rPr>
                <w:rFonts w:ascii="Arial" w:hAnsi="Arial" w:cs="Arial"/>
                <w:iCs/>
                <w:sz w:val="20"/>
                <w:szCs w:val="20"/>
              </w:rPr>
            </w:pPr>
          </w:p>
        </w:tc>
      </w:tr>
      <w:tr w:rsidR="00763B2F" w:rsidRPr="004870BB" w:rsidDel="004E375D" w14:paraId="03F8CF3E" w14:textId="541170FC" w:rsidTr="42ABBDCE">
        <w:tc>
          <w:tcPr>
            <w:tcW w:w="567" w:type="dxa"/>
          </w:tcPr>
          <w:p w14:paraId="1C68B47F"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77E12B4C" w14:textId="1A1D57DF"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11.37(j)(</w:t>
            </w:r>
            <w:proofErr w:type="gramStart"/>
            <w:r w:rsidRPr="42ABBDCE">
              <w:rPr>
                <w:rFonts w:asciiTheme="minorHAnsi" w:eastAsiaTheme="minorEastAsia" w:hAnsiTheme="minorHAnsi" w:cstheme="minorBidi"/>
                <w:sz w:val="22"/>
                <w:szCs w:val="22"/>
              </w:rPr>
              <w:t>i)(</w:t>
            </w:r>
            <w:proofErr w:type="gramEnd"/>
            <w:r w:rsidRPr="42ABBDCE">
              <w:rPr>
                <w:rFonts w:asciiTheme="minorHAnsi" w:eastAsiaTheme="minorEastAsia" w:hAnsiTheme="minorHAnsi" w:cstheme="minorBidi"/>
                <w:sz w:val="22"/>
                <w:szCs w:val="22"/>
              </w:rPr>
              <w:t>aa)</w:t>
            </w:r>
          </w:p>
        </w:tc>
        <w:tc>
          <w:tcPr>
            <w:tcW w:w="3533" w:type="dxa"/>
          </w:tcPr>
          <w:p w14:paraId="14470789"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3C286597" w14:textId="77777777" w:rsidR="008661C0" w:rsidRPr="004870BB" w:rsidDel="004E375D" w:rsidRDefault="008661C0" w:rsidP="004D45B1">
            <w:pPr>
              <w:rPr>
                <w:rFonts w:ascii="Arial" w:hAnsi="Arial" w:cs="Arial"/>
                <w:iCs/>
                <w:sz w:val="20"/>
                <w:szCs w:val="20"/>
              </w:rPr>
            </w:pPr>
          </w:p>
        </w:tc>
      </w:tr>
      <w:tr w:rsidR="00763B2F" w:rsidRPr="004870BB" w:rsidDel="004E375D" w14:paraId="60F9555B" w14:textId="154E4808" w:rsidTr="42ABBDCE">
        <w:tc>
          <w:tcPr>
            <w:tcW w:w="567" w:type="dxa"/>
          </w:tcPr>
          <w:p w14:paraId="7B332109"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73875A37" w14:textId="048DC754"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11.37(j)(</w:t>
            </w:r>
            <w:proofErr w:type="gramStart"/>
            <w:r w:rsidRPr="42ABBDCE">
              <w:rPr>
                <w:rFonts w:asciiTheme="minorHAnsi" w:eastAsiaTheme="minorEastAsia" w:hAnsiTheme="minorHAnsi" w:cstheme="minorBidi"/>
                <w:sz w:val="22"/>
                <w:szCs w:val="22"/>
              </w:rPr>
              <w:t>i)(</w:t>
            </w:r>
            <w:proofErr w:type="gramEnd"/>
            <w:r w:rsidRPr="42ABBDCE">
              <w:rPr>
                <w:rFonts w:asciiTheme="minorHAnsi" w:eastAsiaTheme="minorEastAsia" w:hAnsiTheme="minorHAnsi" w:cstheme="minorBidi"/>
                <w:sz w:val="22"/>
                <w:szCs w:val="22"/>
              </w:rPr>
              <w:t>bb)</w:t>
            </w:r>
          </w:p>
        </w:tc>
        <w:tc>
          <w:tcPr>
            <w:tcW w:w="3533" w:type="dxa"/>
          </w:tcPr>
          <w:p w14:paraId="2A9CEB3D"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772E0DB4" w14:textId="77777777" w:rsidR="008661C0" w:rsidRPr="004870BB" w:rsidDel="004E375D" w:rsidRDefault="008661C0" w:rsidP="004D45B1">
            <w:pPr>
              <w:rPr>
                <w:rFonts w:ascii="Arial" w:hAnsi="Arial" w:cs="Arial"/>
                <w:iCs/>
                <w:sz w:val="20"/>
                <w:szCs w:val="20"/>
              </w:rPr>
            </w:pPr>
          </w:p>
        </w:tc>
      </w:tr>
      <w:tr w:rsidR="00763B2F" w:rsidRPr="004870BB" w:rsidDel="004E375D" w14:paraId="1C3E6C10" w14:textId="7A6A218F" w:rsidTr="42ABBDCE">
        <w:tc>
          <w:tcPr>
            <w:tcW w:w="567" w:type="dxa"/>
          </w:tcPr>
          <w:p w14:paraId="584C67DD"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06396108" w14:textId="1D34A346"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11.37(j)(i)(cc)</w:t>
            </w:r>
          </w:p>
        </w:tc>
        <w:tc>
          <w:tcPr>
            <w:tcW w:w="3533" w:type="dxa"/>
          </w:tcPr>
          <w:p w14:paraId="624C17EB"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54965246" w14:textId="77777777" w:rsidR="008661C0" w:rsidRPr="004870BB" w:rsidDel="004E375D" w:rsidRDefault="008661C0" w:rsidP="004D45B1">
            <w:pPr>
              <w:rPr>
                <w:rFonts w:ascii="Arial" w:hAnsi="Arial" w:cs="Arial"/>
                <w:iCs/>
                <w:sz w:val="20"/>
                <w:szCs w:val="20"/>
              </w:rPr>
            </w:pPr>
          </w:p>
        </w:tc>
      </w:tr>
      <w:tr w:rsidR="00763B2F" w:rsidRPr="004870BB" w:rsidDel="004E375D" w14:paraId="7152B20B" w14:textId="4D4731EF" w:rsidTr="42ABBDCE">
        <w:tc>
          <w:tcPr>
            <w:tcW w:w="567" w:type="dxa"/>
          </w:tcPr>
          <w:p w14:paraId="21C4658D"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06788D7F" w14:textId="2AED80A6"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11.37(k)</w:t>
            </w:r>
          </w:p>
        </w:tc>
        <w:tc>
          <w:tcPr>
            <w:tcW w:w="3533" w:type="dxa"/>
          </w:tcPr>
          <w:p w14:paraId="59D8E83F"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3F537C4F" w14:textId="77777777" w:rsidR="008661C0" w:rsidRPr="004870BB" w:rsidDel="004E375D" w:rsidRDefault="008661C0" w:rsidP="004D45B1">
            <w:pPr>
              <w:rPr>
                <w:rFonts w:ascii="Arial" w:hAnsi="Arial" w:cs="Arial"/>
                <w:iCs/>
                <w:sz w:val="20"/>
                <w:szCs w:val="20"/>
              </w:rPr>
            </w:pPr>
          </w:p>
        </w:tc>
      </w:tr>
      <w:tr w:rsidR="00763B2F" w:rsidRPr="004870BB" w:rsidDel="004E375D" w14:paraId="54A696F0" w14:textId="2DE4CE7F" w:rsidTr="42ABBDCE">
        <w:tc>
          <w:tcPr>
            <w:tcW w:w="567" w:type="dxa"/>
          </w:tcPr>
          <w:p w14:paraId="0C854530"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6FBBF935" w14:textId="0FD91B1D"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11.37(l)</w:t>
            </w:r>
          </w:p>
        </w:tc>
        <w:tc>
          <w:tcPr>
            <w:tcW w:w="3533" w:type="dxa"/>
          </w:tcPr>
          <w:p w14:paraId="19545DFE" w14:textId="77777777" w:rsidR="008661C0" w:rsidRPr="004870BB" w:rsidDel="004E375D" w:rsidRDefault="008661C0" w:rsidP="008715A2">
            <w:pPr>
              <w:rPr>
                <w:rFonts w:asciiTheme="minorHAnsi" w:eastAsiaTheme="minorEastAsia" w:hAnsiTheme="minorHAnsi" w:cstheme="minorBidi"/>
                <w:sz w:val="22"/>
                <w:szCs w:val="22"/>
              </w:rPr>
            </w:pPr>
          </w:p>
        </w:tc>
        <w:tc>
          <w:tcPr>
            <w:tcW w:w="5954" w:type="dxa"/>
            <w:vMerge/>
          </w:tcPr>
          <w:p w14:paraId="3DD29AE7" w14:textId="77777777" w:rsidR="008661C0" w:rsidRPr="004870BB" w:rsidDel="004E375D" w:rsidRDefault="008661C0" w:rsidP="004D45B1">
            <w:pPr>
              <w:rPr>
                <w:rFonts w:ascii="Arial" w:hAnsi="Arial" w:cs="Arial"/>
                <w:iCs/>
                <w:sz w:val="20"/>
                <w:szCs w:val="20"/>
              </w:rPr>
            </w:pPr>
          </w:p>
        </w:tc>
      </w:tr>
      <w:tr w:rsidR="00763B2F" w:rsidRPr="004870BB" w14:paraId="3C60E1A2" w14:textId="066A94D0" w:rsidTr="42ABBDCE">
        <w:trPr>
          <w:trHeight w:val="159"/>
        </w:trPr>
        <w:tc>
          <w:tcPr>
            <w:tcW w:w="567" w:type="dxa"/>
          </w:tcPr>
          <w:p w14:paraId="15F961D6"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1B2B10C2" w14:textId="4CD070F0"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11.37(m)(i)</w:t>
            </w:r>
          </w:p>
        </w:tc>
        <w:tc>
          <w:tcPr>
            <w:tcW w:w="3533" w:type="dxa"/>
          </w:tcPr>
          <w:p w14:paraId="5E2E96ED" w14:textId="77777777" w:rsidR="008661C0" w:rsidRPr="004870BB" w:rsidRDefault="008661C0" w:rsidP="008715A2">
            <w:pPr>
              <w:rPr>
                <w:rFonts w:asciiTheme="minorHAnsi" w:eastAsiaTheme="minorEastAsia" w:hAnsiTheme="minorHAnsi" w:cstheme="minorBidi"/>
                <w:sz w:val="22"/>
                <w:szCs w:val="22"/>
              </w:rPr>
            </w:pPr>
          </w:p>
        </w:tc>
        <w:tc>
          <w:tcPr>
            <w:tcW w:w="5954" w:type="dxa"/>
            <w:vMerge/>
          </w:tcPr>
          <w:p w14:paraId="41DBACA1" w14:textId="77777777" w:rsidR="008661C0" w:rsidRPr="004870BB" w:rsidRDefault="008661C0" w:rsidP="004D45B1">
            <w:pPr>
              <w:rPr>
                <w:rFonts w:ascii="Arial" w:hAnsi="Arial" w:cs="Arial"/>
                <w:iCs/>
                <w:sz w:val="20"/>
                <w:szCs w:val="20"/>
              </w:rPr>
            </w:pPr>
          </w:p>
        </w:tc>
      </w:tr>
      <w:tr w:rsidR="00763B2F" w:rsidRPr="004870BB" w14:paraId="3D21C20F" w14:textId="363D54C0" w:rsidTr="42ABBDCE">
        <w:tc>
          <w:tcPr>
            <w:tcW w:w="567" w:type="dxa"/>
          </w:tcPr>
          <w:p w14:paraId="7C1F81FD"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5FCACC22" w14:textId="1A78877D"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11.37(m)(ii)</w:t>
            </w:r>
          </w:p>
        </w:tc>
        <w:tc>
          <w:tcPr>
            <w:tcW w:w="3533" w:type="dxa"/>
          </w:tcPr>
          <w:p w14:paraId="02060CB2" w14:textId="77777777" w:rsidR="008661C0" w:rsidRPr="004870BB" w:rsidRDefault="008661C0" w:rsidP="008715A2">
            <w:pPr>
              <w:rPr>
                <w:rFonts w:asciiTheme="minorHAnsi" w:eastAsiaTheme="minorEastAsia" w:hAnsiTheme="minorHAnsi" w:cstheme="minorBidi"/>
                <w:sz w:val="22"/>
                <w:szCs w:val="22"/>
              </w:rPr>
            </w:pPr>
          </w:p>
        </w:tc>
        <w:tc>
          <w:tcPr>
            <w:tcW w:w="5954" w:type="dxa"/>
            <w:vMerge/>
          </w:tcPr>
          <w:p w14:paraId="69E91F17" w14:textId="77777777" w:rsidR="008661C0" w:rsidRPr="004870BB" w:rsidRDefault="008661C0" w:rsidP="004D45B1">
            <w:pPr>
              <w:rPr>
                <w:rFonts w:ascii="Arial" w:hAnsi="Arial" w:cs="Arial"/>
                <w:iCs/>
                <w:sz w:val="20"/>
                <w:szCs w:val="20"/>
              </w:rPr>
            </w:pPr>
          </w:p>
        </w:tc>
      </w:tr>
      <w:tr w:rsidR="00763B2F" w:rsidRPr="004870BB" w14:paraId="6D563D61" w14:textId="2F1B1962" w:rsidTr="42ABBDCE">
        <w:tc>
          <w:tcPr>
            <w:tcW w:w="567" w:type="dxa"/>
          </w:tcPr>
          <w:p w14:paraId="6B58E0E0" w14:textId="77777777" w:rsidR="008661C0" w:rsidRPr="004870BB" w:rsidRDefault="008661C0" w:rsidP="42ABBDCE">
            <w:pPr>
              <w:numPr>
                <w:ilvl w:val="0"/>
                <w:numId w:val="2"/>
              </w:numPr>
              <w:rPr>
                <w:rFonts w:asciiTheme="minorHAnsi" w:eastAsiaTheme="minorEastAsia" w:hAnsiTheme="minorHAnsi" w:cstheme="minorBidi"/>
                <w:sz w:val="22"/>
                <w:szCs w:val="22"/>
              </w:rPr>
            </w:pPr>
          </w:p>
        </w:tc>
        <w:tc>
          <w:tcPr>
            <w:tcW w:w="3838" w:type="dxa"/>
          </w:tcPr>
          <w:p w14:paraId="4BB7EC7B" w14:textId="1DF8829B" w:rsidR="008661C0" w:rsidRPr="004870BB" w:rsidRDefault="008661C0"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11.37(m)(iii)</w:t>
            </w:r>
          </w:p>
        </w:tc>
        <w:tc>
          <w:tcPr>
            <w:tcW w:w="3533" w:type="dxa"/>
          </w:tcPr>
          <w:p w14:paraId="69F8154E" w14:textId="77777777" w:rsidR="008661C0" w:rsidRPr="004870BB" w:rsidRDefault="008661C0" w:rsidP="008715A2">
            <w:pPr>
              <w:rPr>
                <w:rFonts w:asciiTheme="minorHAnsi" w:eastAsiaTheme="minorEastAsia" w:hAnsiTheme="minorHAnsi" w:cstheme="minorBidi"/>
                <w:sz w:val="22"/>
                <w:szCs w:val="22"/>
              </w:rPr>
            </w:pPr>
          </w:p>
        </w:tc>
        <w:tc>
          <w:tcPr>
            <w:tcW w:w="5954" w:type="dxa"/>
            <w:vMerge/>
          </w:tcPr>
          <w:p w14:paraId="3DA9A3D6" w14:textId="77777777" w:rsidR="008661C0" w:rsidRPr="004870BB" w:rsidRDefault="008661C0" w:rsidP="004D45B1">
            <w:pPr>
              <w:rPr>
                <w:rFonts w:ascii="Arial" w:hAnsi="Arial" w:cs="Arial"/>
                <w:iCs/>
                <w:sz w:val="20"/>
                <w:szCs w:val="20"/>
              </w:rPr>
            </w:pPr>
          </w:p>
        </w:tc>
      </w:tr>
      <w:tr w:rsidR="005807EF" w:rsidRPr="004870BB" w14:paraId="143445E8" w14:textId="77777777" w:rsidTr="42ABBDCE">
        <w:tc>
          <w:tcPr>
            <w:tcW w:w="567" w:type="dxa"/>
          </w:tcPr>
          <w:p w14:paraId="2F76DFCC" w14:textId="77777777" w:rsidR="005807EF" w:rsidRPr="004870BB" w:rsidRDefault="005807EF" w:rsidP="42ABBDCE">
            <w:pPr>
              <w:numPr>
                <w:ilvl w:val="0"/>
                <w:numId w:val="2"/>
              </w:numPr>
              <w:rPr>
                <w:rFonts w:asciiTheme="minorHAnsi" w:eastAsiaTheme="minorEastAsia" w:hAnsiTheme="minorHAnsi" w:cstheme="minorBidi"/>
                <w:sz w:val="22"/>
                <w:szCs w:val="22"/>
              </w:rPr>
            </w:pPr>
          </w:p>
        </w:tc>
        <w:tc>
          <w:tcPr>
            <w:tcW w:w="3838" w:type="dxa"/>
          </w:tcPr>
          <w:p w14:paraId="7E746BDF" w14:textId="37E45F03" w:rsidR="005807EF" w:rsidRPr="004870BB" w:rsidRDefault="005807EF"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5.9</w:t>
            </w:r>
          </w:p>
        </w:tc>
        <w:tc>
          <w:tcPr>
            <w:tcW w:w="3533" w:type="dxa"/>
            <w:vAlign w:val="bottom"/>
          </w:tcPr>
          <w:p w14:paraId="535B5740" w14:textId="37A2F7A9" w:rsidR="005807EF" w:rsidRPr="004870BB" w:rsidRDefault="00C26695" w:rsidP="008715A2">
            <w:pPr>
              <w:jc w:val="both"/>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Responsibility</w:t>
            </w:r>
            <w:r w:rsidR="00917920" w:rsidRPr="42ABBDCE">
              <w:rPr>
                <w:rFonts w:asciiTheme="minorHAnsi" w:eastAsiaTheme="minorEastAsia" w:hAnsiTheme="minorHAnsi" w:cstheme="minorBidi"/>
                <w:sz w:val="22"/>
                <w:szCs w:val="22"/>
              </w:rPr>
              <w:t xml:space="preserve"> Statement: Annual financial statements</w:t>
            </w:r>
          </w:p>
        </w:tc>
        <w:tc>
          <w:tcPr>
            <w:tcW w:w="5954" w:type="dxa"/>
          </w:tcPr>
          <w:p w14:paraId="755DC433" w14:textId="77777777" w:rsidR="004870BB" w:rsidRPr="004870BB" w:rsidRDefault="004870BB" w:rsidP="42ABBDCE">
            <w:pPr>
              <w:pStyle w:val="000"/>
              <w:rPr>
                <w:rFonts w:asciiTheme="minorHAnsi" w:eastAsiaTheme="minorEastAsia" w:hAnsiTheme="minorHAnsi" w:cstheme="minorBidi"/>
                <w:szCs w:val="22"/>
              </w:rPr>
            </w:pPr>
            <w:r w:rsidRPr="42ABBDCE">
              <w:rPr>
                <w:rFonts w:asciiTheme="minorHAnsi" w:eastAsiaTheme="minorEastAsia" w:hAnsiTheme="minorHAnsi" w:cstheme="minorBidi"/>
                <w:szCs w:val="22"/>
              </w:rPr>
              <w:t xml:space="preserve">The following responsibility statement must be included </w:t>
            </w:r>
            <w:r w:rsidRPr="42ABBDCE">
              <w:rPr>
                <w:rFonts w:asciiTheme="minorHAnsi" w:eastAsiaTheme="minorEastAsia" w:hAnsiTheme="minorHAnsi" w:cstheme="minorBidi"/>
                <w:i/>
                <w:iCs/>
                <w:szCs w:val="22"/>
              </w:rPr>
              <w:t xml:space="preserve">verbatim </w:t>
            </w:r>
            <w:r w:rsidRPr="42ABBDCE">
              <w:rPr>
                <w:rFonts w:asciiTheme="minorHAnsi" w:eastAsiaTheme="minorEastAsia" w:hAnsiTheme="minorHAnsi" w:cstheme="minorBidi"/>
                <w:szCs w:val="22"/>
              </w:rPr>
              <w:t>in the annual financial statements of main board and ALT</w:t>
            </w:r>
            <w:r w:rsidRPr="42ABBDCE">
              <w:rPr>
                <w:rFonts w:asciiTheme="minorHAnsi" w:eastAsiaTheme="minorEastAsia" w:hAnsiTheme="minorHAnsi" w:cstheme="minorBidi"/>
                <w:szCs w:val="22"/>
                <w:vertAlign w:val="superscript"/>
              </w:rPr>
              <w:t>X</w:t>
            </w:r>
            <w:r w:rsidRPr="42ABBDCE">
              <w:rPr>
                <w:rFonts w:asciiTheme="minorHAnsi" w:eastAsiaTheme="minorEastAsia" w:hAnsiTheme="minorHAnsi" w:cstheme="minorBidi"/>
                <w:szCs w:val="22"/>
              </w:rPr>
              <w:t xml:space="preserve"> issuers, after due, careful and proper consideration by the chief executive officer and the financial director</w:t>
            </w:r>
          </w:p>
          <w:p w14:paraId="293CBDAF" w14:textId="77777777" w:rsidR="004870BB" w:rsidRPr="004870BB" w:rsidRDefault="004870BB" w:rsidP="42ABBDCE">
            <w:pPr>
              <w:pStyle w:val="1-000a"/>
              <w:ind w:left="1304" w:firstLine="0"/>
              <w:rPr>
                <w:rFonts w:asciiTheme="minorHAnsi" w:eastAsiaTheme="minorEastAsia" w:hAnsiTheme="minorHAnsi" w:cstheme="minorBidi"/>
                <w:i/>
                <w:iCs/>
                <w:sz w:val="22"/>
                <w:szCs w:val="22"/>
              </w:rPr>
            </w:pPr>
            <w:r w:rsidRPr="42ABBDCE">
              <w:rPr>
                <w:rFonts w:asciiTheme="minorHAnsi" w:eastAsiaTheme="minorEastAsia" w:hAnsiTheme="minorHAnsi" w:cstheme="minorBidi"/>
                <w:sz w:val="22"/>
                <w:szCs w:val="22"/>
              </w:rPr>
              <w:t>“</w:t>
            </w:r>
            <w:r w:rsidRPr="42ABBDCE">
              <w:rPr>
                <w:rFonts w:asciiTheme="minorHAnsi" w:eastAsiaTheme="minorEastAsia" w:hAnsiTheme="minorHAnsi" w:cstheme="minorBidi"/>
                <w:i/>
                <w:iCs/>
                <w:sz w:val="22"/>
                <w:szCs w:val="22"/>
              </w:rPr>
              <w:t>Each of the directors, whose names are stated below, hereby confirm that–</w:t>
            </w:r>
          </w:p>
          <w:p w14:paraId="1A459E72"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(a)</w:t>
            </w:r>
            <w:r w:rsidRPr="004870BB">
              <w:rPr>
                <w:rFonts w:ascii="Arial" w:hAnsi="Arial" w:cs="Arial"/>
                <w:i/>
                <w:iCs/>
                <w:sz w:val="20"/>
              </w:rPr>
              <w:tab/>
            </w:r>
            <w:r w:rsidRPr="42ABBDCE">
              <w:rPr>
                <w:rFonts w:asciiTheme="minorHAnsi" w:eastAsiaTheme="minorEastAsia" w:hAnsiTheme="minorHAnsi" w:cstheme="minorBidi"/>
                <w:i/>
                <w:iCs/>
                <w:sz w:val="22"/>
                <w:szCs w:val="22"/>
              </w:rPr>
              <w:t xml:space="preserve">the annual financial statements set out on pages [...] to […], </w:t>
            </w:r>
            <w:proofErr w:type="gramStart"/>
            <w:r w:rsidRPr="42ABBDCE">
              <w:rPr>
                <w:rFonts w:asciiTheme="minorHAnsi" w:eastAsiaTheme="minorEastAsia" w:hAnsiTheme="minorHAnsi" w:cstheme="minorBidi"/>
                <w:i/>
                <w:iCs/>
                <w:sz w:val="22"/>
                <w:szCs w:val="22"/>
              </w:rPr>
              <w:t>fairly present</w:t>
            </w:r>
            <w:proofErr w:type="gramEnd"/>
            <w:r w:rsidRPr="42ABBDCE">
              <w:rPr>
                <w:rFonts w:asciiTheme="minorHAnsi" w:eastAsiaTheme="minorEastAsia" w:hAnsiTheme="minorHAnsi" w:cstheme="minorBidi"/>
                <w:i/>
                <w:iCs/>
                <w:sz w:val="22"/>
                <w:szCs w:val="22"/>
              </w:rPr>
              <w:t xml:space="preserve"> in all material respects the financial position, financial performance and cash flows of the issuer in terms of </w:t>
            </w:r>
            <w:proofErr w:type="gramStart"/>
            <w:r w:rsidRPr="42ABBDCE">
              <w:rPr>
                <w:rFonts w:asciiTheme="minorHAnsi" w:eastAsiaTheme="minorEastAsia" w:hAnsiTheme="minorHAnsi" w:cstheme="minorBidi"/>
                <w:i/>
                <w:iCs/>
                <w:sz w:val="22"/>
                <w:szCs w:val="22"/>
              </w:rPr>
              <w:t>IFRS;</w:t>
            </w:r>
            <w:proofErr w:type="gramEnd"/>
          </w:p>
          <w:p w14:paraId="7BDC33E8"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(b)</w:t>
            </w:r>
            <w:r w:rsidRPr="004870BB">
              <w:rPr>
                <w:rFonts w:ascii="Arial" w:hAnsi="Arial" w:cs="Arial"/>
                <w:i/>
                <w:iCs/>
                <w:sz w:val="20"/>
              </w:rPr>
              <w:tab/>
            </w:r>
            <w:r w:rsidRPr="42ABBDCE">
              <w:rPr>
                <w:rFonts w:asciiTheme="minorHAnsi" w:eastAsiaTheme="minorEastAsia" w:hAnsiTheme="minorHAnsi" w:cstheme="minorBidi"/>
                <w:i/>
                <w:iCs/>
                <w:sz w:val="22"/>
                <w:szCs w:val="22"/>
              </w:rPr>
              <w:t xml:space="preserve">to the best of our knowledge and belief, no facts have been omitted or untrue statements made that would make the annual financial statements false or </w:t>
            </w:r>
            <w:proofErr w:type="gramStart"/>
            <w:r w:rsidRPr="42ABBDCE">
              <w:rPr>
                <w:rFonts w:asciiTheme="minorHAnsi" w:eastAsiaTheme="minorEastAsia" w:hAnsiTheme="minorHAnsi" w:cstheme="minorBidi"/>
                <w:i/>
                <w:iCs/>
                <w:sz w:val="22"/>
                <w:szCs w:val="22"/>
              </w:rPr>
              <w:t>misleading;</w:t>
            </w:r>
            <w:proofErr w:type="gramEnd"/>
          </w:p>
          <w:p w14:paraId="49C049D6"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(c)</w:t>
            </w:r>
            <w:r w:rsidRPr="004870BB">
              <w:rPr>
                <w:rFonts w:ascii="Arial" w:hAnsi="Arial" w:cs="Arial"/>
                <w:i/>
                <w:iCs/>
                <w:sz w:val="20"/>
              </w:rPr>
              <w:tab/>
            </w:r>
            <w:r w:rsidRPr="42ABBDCE">
              <w:rPr>
                <w:rFonts w:asciiTheme="minorHAnsi" w:eastAsiaTheme="minorEastAsia" w:hAnsiTheme="minorHAnsi" w:cstheme="minorBidi"/>
                <w:i/>
                <w:iCs/>
                <w:sz w:val="22"/>
                <w:szCs w:val="22"/>
              </w:rPr>
              <w:t xml:space="preserve">internal financial controls have been put in place to ensure that material information relating to the issuer and its consolidated subsidiaries has been provided to effectively prepare the financial statements of the </w:t>
            </w:r>
            <w:proofErr w:type="gramStart"/>
            <w:r w:rsidRPr="42ABBDCE">
              <w:rPr>
                <w:rFonts w:asciiTheme="minorHAnsi" w:eastAsiaTheme="minorEastAsia" w:hAnsiTheme="minorHAnsi" w:cstheme="minorBidi"/>
                <w:i/>
                <w:iCs/>
                <w:sz w:val="22"/>
                <w:szCs w:val="22"/>
              </w:rPr>
              <w:t>issuer;</w:t>
            </w:r>
            <w:proofErr w:type="gramEnd"/>
          </w:p>
          <w:p w14:paraId="70DD68A3"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(d)</w:t>
            </w:r>
            <w:r w:rsidRPr="004870BB">
              <w:rPr>
                <w:rFonts w:ascii="Arial" w:hAnsi="Arial" w:cs="Arial"/>
                <w:i/>
                <w:iCs/>
                <w:sz w:val="20"/>
              </w:rPr>
              <w:tab/>
            </w:r>
            <w:r w:rsidRPr="42ABBDCE">
              <w:rPr>
                <w:rFonts w:asciiTheme="minorHAnsi" w:eastAsiaTheme="minorEastAsia" w:hAnsiTheme="minorHAnsi" w:cstheme="minorBidi"/>
                <w:i/>
                <w:iCs/>
                <w:sz w:val="22"/>
                <w:szCs w:val="22"/>
              </w:rPr>
              <w:t xml:space="preserve">the internal financial controls are adequate and effective and can be relied upon in compiling the annual financial statements, and we have fulfilled our role and function as executive directors with primary responsibility </w:t>
            </w:r>
            <w:r w:rsidRPr="42ABBDCE">
              <w:rPr>
                <w:rFonts w:asciiTheme="minorHAnsi" w:eastAsiaTheme="minorEastAsia" w:hAnsiTheme="minorHAnsi" w:cstheme="minorBidi"/>
                <w:i/>
                <w:iCs/>
                <w:sz w:val="22"/>
                <w:szCs w:val="22"/>
                <w:lang w:val="en-US"/>
              </w:rPr>
              <w:t xml:space="preserve">for implementation and execution of </w:t>
            </w:r>
            <w:proofErr w:type="gramStart"/>
            <w:r w:rsidRPr="42ABBDCE">
              <w:rPr>
                <w:rFonts w:asciiTheme="minorHAnsi" w:eastAsiaTheme="minorEastAsia" w:hAnsiTheme="minorHAnsi" w:cstheme="minorBidi"/>
                <w:i/>
                <w:iCs/>
                <w:sz w:val="22"/>
                <w:szCs w:val="22"/>
                <w:lang w:val="en-US"/>
              </w:rPr>
              <w:t>controls</w:t>
            </w:r>
            <w:r w:rsidRPr="42ABBDCE">
              <w:rPr>
                <w:rFonts w:asciiTheme="minorHAnsi" w:eastAsiaTheme="minorEastAsia" w:hAnsiTheme="minorHAnsi" w:cstheme="minorBidi"/>
                <w:i/>
                <w:iCs/>
                <w:sz w:val="22"/>
                <w:szCs w:val="22"/>
              </w:rPr>
              <w:t>;</w:t>
            </w:r>
            <w:proofErr w:type="gramEnd"/>
          </w:p>
          <w:p w14:paraId="79042382"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(e)</w:t>
            </w:r>
            <w:r w:rsidRPr="004870BB">
              <w:rPr>
                <w:rFonts w:ascii="Arial" w:hAnsi="Arial" w:cs="Arial"/>
                <w:i/>
                <w:iCs/>
                <w:sz w:val="20"/>
              </w:rPr>
              <w:tab/>
            </w:r>
            <w:r w:rsidRPr="42ABBDCE">
              <w:rPr>
                <w:rFonts w:asciiTheme="minorHAnsi" w:eastAsiaTheme="minorEastAsia" w:hAnsiTheme="minorHAnsi" w:cstheme="minorBidi"/>
                <w:i/>
                <w:iCs/>
                <w:sz w:val="22"/>
                <w:szCs w:val="22"/>
              </w:rPr>
              <w:t xml:space="preserve">where we are not satisfied, we have disclosed to the audit committee and the auditors any deficiencies in the design and operational effectiveness of the internal financial </w:t>
            </w:r>
            <w:proofErr w:type="gramStart"/>
            <w:r w:rsidRPr="42ABBDCE">
              <w:rPr>
                <w:rFonts w:asciiTheme="minorHAnsi" w:eastAsiaTheme="minorEastAsia" w:hAnsiTheme="minorHAnsi" w:cstheme="minorBidi"/>
                <w:i/>
                <w:iCs/>
                <w:sz w:val="22"/>
                <w:szCs w:val="22"/>
              </w:rPr>
              <w:t>controls, and</w:t>
            </w:r>
            <w:proofErr w:type="gramEnd"/>
            <w:r w:rsidRPr="42ABBDCE">
              <w:rPr>
                <w:rFonts w:asciiTheme="minorHAnsi" w:eastAsiaTheme="minorEastAsia" w:hAnsiTheme="minorHAnsi" w:cstheme="minorBidi"/>
                <w:i/>
                <w:iCs/>
                <w:sz w:val="22"/>
                <w:szCs w:val="22"/>
              </w:rPr>
              <w:t xml:space="preserve"> have* </w:t>
            </w:r>
            <w:r w:rsidRPr="42ABBDCE">
              <w:rPr>
                <w:rFonts w:asciiTheme="minorHAnsi" w:eastAsiaTheme="minorEastAsia" w:hAnsiTheme="minorHAnsi" w:cstheme="minorBidi"/>
                <w:i/>
                <w:iCs/>
                <w:sz w:val="22"/>
                <w:szCs w:val="22"/>
                <w:lang w:val="en-US"/>
              </w:rPr>
              <w:t>remediated the deficiencies</w:t>
            </w:r>
            <w:r w:rsidRPr="42ABBDCE">
              <w:rPr>
                <w:rFonts w:asciiTheme="minorHAnsi" w:eastAsiaTheme="minorEastAsia" w:hAnsiTheme="minorHAnsi" w:cstheme="minorBidi"/>
                <w:i/>
                <w:iCs/>
                <w:sz w:val="22"/>
                <w:szCs w:val="22"/>
              </w:rPr>
              <w:t xml:space="preserve"> / taken steps to remedy the deficiencies; and [*Delete as applicable].</w:t>
            </w:r>
          </w:p>
          <w:p w14:paraId="2ED31A74" w14:textId="77777777" w:rsidR="004870BB" w:rsidRPr="004870BB" w:rsidRDefault="004870BB" w:rsidP="42ABBDCE">
            <w:pPr>
              <w:pStyle w:val="1-000a"/>
              <w:rPr>
                <w:rFonts w:asciiTheme="minorHAnsi" w:eastAsiaTheme="minorEastAsia" w:hAnsiTheme="minorHAnsi" w:cstheme="minorBidi"/>
                <w:i/>
                <w:iCs/>
                <w:sz w:val="22"/>
                <w:szCs w:val="22"/>
              </w:rPr>
            </w:pPr>
            <w:r w:rsidRPr="004870BB">
              <w:rPr>
                <w:rFonts w:ascii="Arial" w:hAnsi="Arial" w:cs="Arial"/>
                <w:i/>
                <w:iCs/>
                <w:sz w:val="20"/>
              </w:rPr>
              <w:tab/>
            </w:r>
            <w:r w:rsidRPr="42ABBDCE">
              <w:rPr>
                <w:rFonts w:asciiTheme="minorHAnsi" w:eastAsiaTheme="minorEastAsia" w:hAnsiTheme="minorHAnsi" w:cstheme="minorBidi"/>
                <w:i/>
                <w:iCs/>
                <w:sz w:val="22"/>
                <w:szCs w:val="22"/>
              </w:rPr>
              <w:t>(f)</w:t>
            </w:r>
            <w:r w:rsidRPr="004870BB">
              <w:rPr>
                <w:rFonts w:ascii="Arial" w:hAnsi="Arial" w:cs="Arial"/>
                <w:i/>
                <w:iCs/>
                <w:sz w:val="20"/>
              </w:rPr>
              <w:tab/>
            </w:r>
            <w:r w:rsidRPr="42ABBDCE">
              <w:rPr>
                <w:rFonts w:asciiTheme="minorHAnsi" w:eastAsiaTheme="minorEastAsia" w:hAnsiTheme="minorHAnsi" w:cstheme="minorBidi"/>
                <w:i/>
                <w:iCs/>
                <w:sz w:val="22"/>
                <w:szCs w:val="22"/>
              </w:rPr>
              <w:t>any fraud that involves directors was reported to the audit committee/We are not aware of any fraud involving directors. [*Delete as applicable].</w:t>
            </w:r>
          </w:p>
          <w:p w14:paraId="73AAA117" w14:textId="77777777" w:rsidR="004870BB" w:rsidRPr="004870BB" w:rsidRDefault="004870BB" w:rsidP="42ABBDCE">
            <w:pPr>
              <w:pStyle w:val="i-000a"/>
              <w:rPr>
                <w:rFonts w:asciiTheme="minorHAnsi" w:eastAsiaTheme="minorEastAsia" w:hAnsiTheme="minorHAnsi" w:cstheme="minorBidi"/>
                <w:szCs w:val="22"/>
              </w:rPr>
            </w:pPr>
            <w:r w:rsidRPr="004870BB">
              <w:rPr>
                <w:rFonts w:ascii="Arial" w:hAnsi="Arial" w:cs="Arial"/>
                <w:i/>
                <w:iCs/>
                <w:sz w:val="20"/>
              </w:rPr>
              <w:tab/>
            </w:r>
            <w:r w:rsidRPr="004870BB">
              <w:rPr>
                <w:rFonts w:ascii="Arial" w:hAnsi="Arial" w:cs="Arial"/>
                <w:i/>
                <w:iCs/>
                <w:sz w:val="20"/>
              </w:rPr>
              <w:tab/>
            </w:r>
            <w:r w:rsidRPr="42ABBDCE">
              <w:rPr>
                <w:rFonts w:asciiTheme="minorHAnsi" w:eastAsiaTheme="minorEastAsia" w:hAnsiTheme="minorHAnsi" w:cstheme="minorBidi"/>
                <w:i/>
                <w:iCs/>
                <w:szCs w:val="22"/>
              </w:rPr>
              <w:t>Signed by the chief executive officer and the financial director</w:t>
            </w:r>
            <w:r w:rsidRPr="42ABBDCE">
              <w:rPr>
                <w:rFonts w:asciiTheme="minorHAnsi" w:eastAsiaTheme="minorEastAsia" w:hAnsiTheme="minorHAnsi" w:cstheme="minorBidi"/>
                <w:szCs w:val="22"/>
              </w:rPr>
              <w:t>.”</w:t>
            </w:r>
          </w:p>
          <w:p w14:paraId="722F1B39" w14:textId="77777777" w:rsidR="005807EF" w:rsidRPr="004870BB" w:rsidRDefault="005807EF" w:rsidP="42ABBDCE">
            <w:pPr>
              <w:rPr>
                <w:rFonts w:asciiTheme="minorHAnsi" w:eastAsiaTheme="minorEastAsia" w:hAnsiTheme="minorHAnsi" w:cstheme="minorBidi"/>
                <w:sz w:val="22"/>
                <w:szCs w:val="22"/>
              </w:rPr>
            </w:pPr>
          </w:p>
        </w:tc>
      </w:tr>
      <w:tr w:rsidR="00F91EAB" w:rsidRPr="004870BB" w14:paraId="32F637B1" w14:textId="646F3049" w:rsidTr="42ABBDCE">
        <w:tc>
          <w:tcPr>
            <w:tcW w:w="567" w:type="dxa"/>
          </w:tcPr>
          <w:p w14:paraId="6620D1C9" w14:textId="77777777" w:rsidR="00F91EAB" w:rsidRPr="004870BB" w:rsidRDefault="00F91EAB" w:rsidP="42ABBDCE">
            <w:pPr>
              <w:numPr>
                <w:ilvl w:val="0"/>
                <w:numId w:val="2"/>
              </w:numPr>
              <w:rPr>
                <w:rFonts w:asciiTheme="minorHAnsi" w:eastAsiaTheme="minorEastAsia" w:hAnsiTheme="minorHAnsi" w:cstheme="minorBidi"/>
                <w:sz w:val="22"/>
                <w:szCs w:val="22"/>
              </w:rPr>
            </w:pPr>
          </w:p>
        </w:tc>
        <w:tc>
          <w:tcPr>
            <w:tcW w:w="3838" w:type="dxa"/>
          </w:tcPr>
          <w:p w14:paraId="141CEACF" w14:textId="3EB9E75E" w:rsidR="00F91EAB" w:rsidRPr="004870BB" w:rsidRDefault="00F91EAB" w:rsidP="008715A2">
            <w:pPr>
              <w:rPr>
                <w:rFonts w:asciiTheme="minorHAnsi" w:eastAsiaTheme="minorEastAsia" w:hAnsiTheme="minorHAnsi" w:cstheme="minorBidi"/>
                <w:b/>
                <w:bCs/>
                <w:sz w:val="22"/>
                <w:szCs w:val="22"/>
              </w:rPr>
            </w:pPr>
            <w:r w:rsidRPr="42ABBDCE">
              <w:rPr>
                <w:rFonts w:asciiTheme="minorHAnsi" w:eastAsiaTheme="minorEastAsia" w:hAnsiTheme="minorHAnsi" w:cstheme="minorBidi"/>
                <w:b/>
                <w:bCs/>
                <w:sz w:val="22"/>
                <w:szCs w:val="22"/>
              </w:rPr>
              <w:t>Reporting restatements Practice Note 3/2017</w:t>
            </w:r>
          </w:p>
        </w:tc>
        <w:tc>
          <w:tcPr>
            <w:tcW w:w="3533" w:type="dxa"/>
            <w:vAlign w:val="bottom"/>
          </w:tcPr>
          <w:p w14:paraId="7729FAF7" w14:textId="77777777" w:rsidR="00F91EAB" w:rsidRPr="004870BB" w:rsidRDefault="00F91EAB" w:rsidP="008715A2">
            <w:pPr>
              <w:jc w:val="both"/>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3)</w:t>
            </w:r>
            <w:r>
              <w:tab/>
            </w:r>
            <w:r w:rsidRPr="42ABBDCE">
              <w:rPr>
                <w:rFonts w:asciiTheme="minorHAnsi" w:eastAsiaTheme="minorEastAsia" w:hAnsiTheme="minorHAnsi" w:cstheme="minorBidi"/>
                <w:sz w:val="22"/>
                <w:szCs w:val="22"/>
              </w:rPr>
              <w:t>How to report a restatement</w:t>
            </w:r>
          </w:p>
          <w:p w14:paraId="208DBE7C" w14:textId="77777777" w:rsidR="00F91EAB" w:rsidRPr="004870BB" w:rsidRDefault="00F91EAB" w:rsidP="008715A2">
            <w:pPr>
              <w:jc w:val="both"/>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Instead of communicating the restatement notification to the JSE via e-mail, the notification must be produced to the JSE when submitting the annual financial statements and annual compliance certificate through WEBSTIR. The notification must:</w:t>
            </w:r>
          </w:p>
          <w:p w14:paraId="78D14C1F" w14:textId="77777777" w:rsidR="00F91EAB" w:rsidRPr="004870BB" w:rsidRDefault="00F91EAB" w:rsidP="008715A2">
            <w:pPr>
              <w:pStyle w:val="ListParagraph"/>
              <w:numPr>
                <w:ilvl w:val="0"/>
                <w:numId w:val="3"/>
              </w:numPr>
              <w:spacing w:after="0" w:line="240" w:lineRule="auto"/>
              <w:jc w:val="both"/>
              <w:rPr>
                <w:rFonts w:eastAsiaTheme="minorEastAsia"/>
                <w:sz w:val="22"/>
                <w:szCs w:val="22"/>
              </w:rPr>
            </w:pPr>
            <w:r w:rsidRPr="42ABBDCE">
              <w:rPr>
                <w:rFonts w:eastAsiaTheme="minorEastAsia"/>
                <w:sz w:val="22"/>
                <w:szCs w:val="22"/>
              </w:rPr>
              <w:t xml:space="preserve">contain sufficient information through a detailed narrative for the JSE to understand the nature and circumstances that led to each specific </w:t>
            </w:r>
            <w:proofErr w:type="gramStart"/>
            <w:r w:rsidRPr="42ABBDCE">
              <w:rPr>
                <w:rFonts w:eastAsiaTheme="minorEastAsia"/>
                <w:sz w:val="22"/>
                <w:szCs w:val="22"/>
              </w:rPr>
              <w:t>restatement;</w:t>
            </w:r>
            <w:proofErr w:type="gramEnd"/>
          </w:p>
          <w:p w14:paraId="1062407E" w14:textId="77777777" w:rsidR="00F91EAB" w:rsidRPr="004870BB" w:rsidRDefault="00F91EAB" w:rsidP="008715A2">
            <w:pPr>
              <w:pStyle w:val="ListParagraph"/>
              <w:numPr>
                <w:ilvl w:val="0"/>
                <w:numId w:val="3"/>
              </w:numPr>
              <w:spacing w:after="0" w:line="240" w:lineRule="auto"/>
              <w:jc w:val="both"/>
              <w:rPr>
                <w:rFonts w:eastAsiaTheme="minorEastAsia"/>
                <w:sz w:val="22"/>
                <w:szCs w:val="22"/>
              </w:rPr>
            </w:pPr>
            <w:r w:rsidRPr="42ABBDCE">
              <w:rPr>
                <w:rFonts w:eastAsiaTheme="minorEastAsia"/>
                <w:sz w:val="22"/>
                <w:szCs w:val="22"/>
              </w:rPr>
              <w:t xml:space="preserve">details regarding how and when the need for restatement was </w:t>
            </w:r>
            <w:proofErr w:type="gramStart"/>
            <w:r w:rsidRPr="42ABBDCE">
              <w:rPr>
                <w:rFonts w:eastAsiaTheme="minorEastAsia"/>
                <w:sz w:val="22"/>
                <w:szCs w:val="22"/>
              </w:rPr>
              <w:t>identified;</w:t>
            </w:r>
            <w:proofErr w:type="gramEnd"/>
          </w:p>
          <w:p w14:paraId="2450E5BC" w14:textId="77777777" w:rsidR="00F91EAB" w:rsidRPr="004870BB" w:rsidRDefault="00F91EAB" w:rsidP="008715A2">
            <w:pPr>
              <w:pStyle w:val="ListParagraph"/>
              <w:numPr>
                <w:ilvl w:val="0"/>
                <w:numId w:val="3"/>
              </w:numPr>
              <w:spacing w:after="0" w:line="240" w:lineRule="auto"/>
              <w:jc w:val="both"/>
              <w:rPr>
                <w:rFonts w:eastAsiaTheme="minorEastAsia"/>
                <w:sz w:val="22"/>
                <w:szCs w:val="22"/>
              </w:rPr>
            </w:pPr>
            <w:r w:rsidRPr="42ABBDCE">
              <w:rPr>
                <w:rFonts w:eastAsiaTheme="minorEastAsia"/>
                <w:sz w:val="22"/>
                <w:szCs w:val="22"/>
              </w:rPr>
              <w:t xml:space="preserve">the impact of the restatement on previously published </w:t>
            </w:r>
            <w:proofErr w:type="gramStart"/>
            <w:r w:rsidRPr="42ABBDCE">
              <w:rPr>
                <w:rFonts w:eastAsiaTheme="minorEastAsia"/>
                <w:sz w:val="22"/>
                <w:szCs w:val="22"/>
              </w:rPr>
              <w:t>results;</w:t>
            </w:r>
            <w:proofErr w:type="gramEnd"/>
          </w:p>
          <w:p w14:paraId="4E8A2D78" w14:textId="77777777" w:rsidR="00F91EAB" w:rsidRPr="004870BB" w:rsidRDefault="00F91EAB" w:rsidP="008715A2">
            <w:pPr>
              <w:pStyle w:val="ListParagraph"/>
              <w:numPr>
                <w:ilvl w:val="0"/>
                <w:numId w:val="3"/>
              </w:numPr>
              <w:spacing w:after="0" w:line="240" w:lineRule="auto"/>
              <w:jc w:val="both"/>
              <w:rPr>
                <w:rFonts w:eastAsiaTheme="minorEastAsia"/>
                <w:sz w:val="22"/>
                <w:szCs w:val="22"/>
              </w:rPr>
            </w:pPr>
            <w:r w:rsidRPr="42ABBDCE">
              <w:rPr>
                <w:rFonts w:eastAsiaTheme="minorEastAsia"/>
                <w:sz w:val="22"/>
                <w:szCs w:val="22"/>
              </w:rPr>
              <w:t xml:space="preserve">other than in the instance of 2(iii) above, include a letter from the chairman of the audit committee confirming that the board has considered the circumstances that lead to the restatement and has implemented steps to prevent the reoccurrence of such a </w:t>
            </w:r>
            <w:proofErr w:type="gramStart"/>
            <w:r w:rsidRPr="42ABBDCE">
              <w:rPr>
                <w:rFonts w:eastAsiaTheme="minorEastAsia"/>
                <w:sz w:val="22"/>
                <w:szCs w:val="22"/>
              </w:rPr>
              <w:t>restatement;</w:t>
            </w:r>
            <w:proofErr w:type="gramEnd"/>
          </w:p>
          <w:p w14:paraId="25FF3C12" w14:textId="77777777" w:rsidR="00F91EAB" w:rsidRPr="004870BB" w:rsidRDefault="00F91EAB" w:rsidP="008715A2">
            <w:pPr>
              <w:pStyle w:val="ListParagraph"/>
              <w:numPr>
                <w:ilvl w:val="0"/>
                <w:numId w:val="3"/>
              </w:numPr>
              <w:spacing w:after="0" w:line="240" w:lineRule="auto"/>
              <w:jc w:val="both"/>
              <w:rPr>
                <w:rFonts w:eastAsiaTheme="minorEastAsia"/>
                <w:sz w:val="22"/>
                <w:szCs w:val="22"/>
              </w:rPr>
            </w:pPr>
            <w:r w:rsidRPr="42ABBDCE">
              <w:rPr>
                <w:rFonts w:eastAsiaTheme="minorEastAsia"/>
                <w:sz w:val="22"/>
                <w:szCs w:val="22"/>
              </w:rPr>
              <w:t>in the instance where another restatement occurs after the audit committee letter has been issued, the notification should highlight this fact; and</w:t>
            </w:r>
          </w:p>
          <w:p w14:paraId="3468C910" w14:textId="4BB05275" w:rsidR="00F91EAB" w:rsidRPr="004870BB" w:rsidRDefault="00F91EAB" w:rsidP="008715A2">
            <w:pPr>
              <w:rPr>
                <w:rFonts w:asciiTheme="minorHAnsi" w:eastAsiaTheme="minorEastAsia" w:hAnsiTheme="minorHAnsi" w:cstheme="minorBidi"/>
                <w:sz w:val="22"/>
                <w:szCs w:val="22"/>
              </w:rPr>
            </w:pPr>
            <w:r w:rsidRPr="42ABBDCE">
              <w:rPr>
                <w:rFonts w:asciiTheme="minorHAnsi" w:eastAsiaTheme="minorEastAsia" w:hAnsiTheme="minorHAnsi" w:cstheme="minorBidi"/>
                <w:sz w:val="22"/>
                <w:szCs w:val="22"/>
              </w:rPr>
              <w:t xml:space="preserve">where the further restatement referred to in 3(v) above is a related matter, explain how the audit committee has addressed the fact that the preventative measures it implemented in terms of its initial notification to the JSE </w:t>
            </w:r>
            <w:proofErr w:type="gramStart"/>
            <w:r w:rsidRPr="42ABBDCE">
              <w:rPr>
                <w:rFonts w:asciiTheme="minorHAnsi" w:eastAsiaTheme="minorEastAsia" w:hAnsiTheme="minorHAnsi" w:cstheme="minorBidi"/>
                <w:sz w:val="22"/>
                <w:szCs w:val="22"/>
              </w:rPr>
              <w:t>did not succeed</w:t>
            </w:r>
            <w:proofErr w:type="gramEnd"/>
            <w:r w:rsidRPr="42ABBDCE">
              <w:rPr>
                <w:rFonts w:asciiTheme="minorHAnsi" w:eastAsiaTheme="minorEastAsia" w:hAnsiTheme="minorHAnsi" w:cstheme="minorBidi"/>
                <w:sz w:val="22"/>
                <w:szCs w:val="22"/>
              </w:rPr>
              <w:t>.</w:t>
            </w:r>
          </w:p>
        </w:tc>
        <w:tc>
          <w:tcPr>
            <w:tcW w:w="5954" w:type="dxa"/>
          </w:tcPr>
          <w:p w14:paraId="189C5496" w14:textId="77777777" w:rsidR="00F91EAB" w:rsidRPr="004870BB" w:rsidRDefault="00F91EAB" w:rsidP="42ABBDCE">
            <w:pPr>
              <w:rPr>
                <w:rFonts w:asciiTheme="minorHAnsi" w:eastAsiaTheme="minorEastAsia" w:hAnsiTheme="minorHAnsi" w:cstheme="minorBidi"/>
                <w:sz w:val="22"/>
                <w:szCs w:val="22"/>
              </w:rPr>
            </w:pPr>
          </w:p>
        </w:tc>
      </w:tr>
    </w:tbl>
    <w:p w14:paraId="36E8C652" w14:textId="77777777" w:rsidR="007E0E7E" w:rsidRPr="004870BB" w:rsidRDefault="007E0E7E" w:rsidP="42ABBDCE">
      <w:pPr>
        <w:jc w:val="center"/>
        <w:rPr>
          <w:rFonts w:asciiTheme="minorHAnsi" w:eastAsiaTheme="minorEastAsia" w:hAnsiTheme="minorHAnsi" w:cstheme="minorBidi"/>
          <w:b/>
          <w:bCs/>
          <w:sz w:val="22"/>
          <w:szCs w:val="22"/>
        </w:rPr>
      </w:pPr>
    </w:p>
    <w:p w14:paraId="2BE91E06" w14:textId="659118FC" w:rsidR="003D40EE" w:rsidRPr="004870BB" w:rsidRDefault="006C2BFB" w:rsidP="006C2BFB">
      <w:pPr>
        <w:pStyle w:val="parafullout"/>
        <w:jc w:val="both"/>
        <w:rPr>
          <w:rFonts w:eastAsiaTheme="minorEastAsia"/>
          <w:color w:val="000000"/>
          <w:sz w:val="22"/>
          <w:szCs w:val="22"/>
        </w:rPr>
      </w:pPr>
      <w:r w:rsidRPr="004870BB">
        <w:rPr>
          <w:rFonts w:eastAsiaTheme="minorEastAsia"/>
          <w:color w:val="000000"/>
          <w:sz w:val="22"/>
          <w:szCs w:val="22"/>
        </w:rPr>
        <w:t xml:space="preserve"> </w:t>
      </w:r>
    </w:p>
    <w:p w14:paraId="60EB4DD4" w14:textId="29319ED4" w:rsidR="007E0E7E" w:rsidRPr="004870BB" w:rsidRDefault="007E0E7E" w:rsidP="42ABBDCE">
      <w:pPr>
        <w:spacing w:after="200" w:line="276" w:lineRule="auto"/>
        <w:rPr>
          <w:rFonts w:asciiTheme="minorHAnsi" w:eastAsiaTheme="minorEastAsia" w:hAnsiTheme="minorHAnsi" w:cstheme="minorBidi"/>
          <w:b/>
          <w:bCs/>
          <w:sz w:val="22"/>
          <w:szCs w:val="22"/>
        </w:rPr>
      </w:pPr>
    </w:p>
    <w:sectPr w:rsidR="007E0E7E" w:rsidRPr="004870BB" w:rsidSect="00636A93">
      <w:footerReference w:type="default" r:id="rId11"/>
      <w:pgSz w:w="15840" w:h="12240" w:orient="landscape"/>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C612" w14:textId="77777777" w:rsidR="008962BA" w:rsidRDefault="008962BA">
      <w:r>
        <w:separator/>
      </w:r>
    </w:p>
  </w:endnote>
  <w:endnote w:type="continuationSeparator" w:id="0">
    <w:p w14:paraId="36FF294A" w14:textId="77777777" w:rsidR="008962BA" w:rsidRDefault="0089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227" w14:textId="77777777" w:rsidR="00796433" w:rsidRDefault="00796433" w:rsidP="00830AD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67">
      <w:rPr>
        <w:rStyle w:val="PageNumber"/>
        <w:noProof/>
      </w:rPr>
      <w:t>1</w:t>
    </w:r>
    <w:r>
      <w:rPr>
        <w:rStyle w:val="PageNumber"/>
      </w:rPr>
      <w:fldChar w:fldCharType="end"/>
    </w:r>
  </w:p>
  <w:p w14:paraId="7896BCFA" w14:textId="77777777" w:rsidR="00796433" w:rsidRDefault="00796433" w:rsidP="00855C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C976" w14:textId="77777777" w:rsidR="008962BA" w:rsidRDefault="008962BA">
      <w:r>
        <w:separator/>
      </w:r>
    </w:p>
  </w:footnote>
  <w:footnote w:type="continuationSeparator" w:id="0">
    <w:p w14:paraId="387B4027" w14:textId="77777777" w:rsidR="008962BA" w:rsidRDefault="00896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C1C"/>
    <w:multiLevelType w:val="hybridMultilevel"/>
    <w:tmpl w:val="F87660A0"/>
    <w:lvl w:ilvl="0" w:tplc="3640BF2E">
      <w:start w:val="1"/>
      <w:numFmt w:val="lowerRoman"/>
      <w:lvlText w:val="(%1)"/>
      <w:lvlJc w:val="left"/>
      <w:pPr>
        <w:ind w:left="767" w:hanging="81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 w15:restartNumberingAfterBreak="0">
    <w:nsid w:val="42EB68B3"/>
    <w:multiLevelType w:val="hybridMultilevel"/>
    <w:tmpl w:val="CDD629C2"/>
    <w:lvl w:ilvl="0" w:tplc="47E21920">
      <w:start w:val="1"/>
      <w:numFmt w:val="lowerLetter"/>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B19F2"/>
    <w:multiLevelType w:val="hybridMultilevel"/>
    <w:tmpl w:val="2654D1D8"/>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B12A1"/>
    <w:multiLevelType w:val="hybridMultilevel"/>
    <w:tmpl w:val="D612FF8E"/>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15666B6"/>
    <w:multiLevelType w:val="hybridMultilevel"/>
    <w:tmpl w:val="2B5A9A16"/>
    <w:lvl w:ilvl="0" w:tplc="A59258B0">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A322FFF"/>
    <w:multiLevelType w:val="hybridMultilevel"/>
    <w:tmpl w:val="0F520CEE"/>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8946">
    <w:abstractNumId w:val="4"/>
  </w:num>
  <w:num w:numId="2" w16cid:durableId="1263564486">
    <w:abstractNumId w:val="3"/>
  </w:num>
  <w:num w:numId="3" w16cid:durableId="1541017720">
    <w:abstractNumId w:val="5"/>
  </w:num>
  <w:num w:numId="4" w16cid:durableId="1810435236">
    <w:abstractNumId w:val="0"/>
  </w:num>
  <w:num w:numId="5" w16cid:durableId="1600916758">
    <w:abstractNumId w:val="1"/>
  </w:num>
  <w:num w:numId="6" w16cid:durableId="171758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30"/>
    <w:rsid w:val="00002FD9"/>
    <w:rsid w:val="000368F0"/>
    <w:rsid w:val="000419D8"/>
    <w:rsid w:val="00042469"/>
    <w:rsid w:val="000539F0"/>
    <w:rsid w:val="00074C4C"/>
    <w:rsid w:val="00084818"/>
    <w:rsid w:val="00086498"/>
    <w:rsid w:val="00090833"/>
    <w:rsid w:val="000971AB"/>
    <w:rsid w:val="000A5A76"/>
    <w:rsid w:val="000A6251"/>
    <w:rsid w:val="000B4F3E"/>
    <w:rsid w:val="000C53D6"/>
    <w:rsid w:val="000E2736"/>
    <w:rsid w:val="000E3456"/>
    <w:rsid w:val="00135937"/>
    <w:rsid w:val="00135E37"/>
    <w:rsid w:val="00142EDA"/>
    <w:rsid w:val="00161018"/>
    <w:rsid w:val="00177D90"/>
    <w:rsid w:val="0018780A"/>
    <w:rsid w:val="00192600"/>
    <w:rsid w:val="001A409E"/>
    <w:rsid w:val="001B64BB"/>
    <w:rsid w:val="001C1D60"/>
    <w:rsid w:val="001D5191"/>
    <w:rsid w:val="001E14C1"/>
    <w:rsid w:val="0020200C"/>
    <w:rsid w:val="00213407"/>
    <w:rsid w:val="002237AC"/>
    <w:rsid w:val="0022639A"/>
    <w:rsid w:val="00234FC8"/>
    <w:rsid w:val="0024004A"/>
    <w:rsid w:val="00283072"/>
    <w:rsid w:val="00294E20"/>
    <w:rsid w:val="002A4278"/>
    <w:rsid w:val="002D1AC3"/>
    <w:rsid w:val="002F3A30"/>
    <w:rsid w:val="00323425"/>
    <w:rsid w:val="00323EBA"/>
    <w:rsid w:val="00331297"/>
    <w:rsid w:val="00335316"/>
    <w:rsid w:val="003378BC"/>
    <w:rsid w:val="00366479"/>
    <w:rsid w:val="00371847"/>
    <w:rsid w:val="0038772B"/>
    <w:rsid w:val="003D40EE"/>
    <w:rsid w:val="003D6C6C"/>
    <w:rsid w:val="003F1EE0"/>
    <w:rsid w:val="003F68BB"/>
    <w:rsid w:val="004050B3"/>
    <w:rsid w:val="00434F9F"/>
    <w:rsid w:val="00441C65"/>
    <w:rsid w:val="00452126"/>
    <w:rsid w:val="0045651F"/>
    <w:rsid w:val="004572ED"/>
    <w:rsid w:val="004870BB"/>
    <w:rsid w:val="004B1E8A"/>
    <w:rsid w:val="004D34FE"/>
    <w:rsid w:val="004D45B1"/>
    <w:rsid w:val="00500951"/>
    <w:rsid w:val="00516B05"/>
    <w:rsid w:val="00536D67"/>
    <w:rsid w:val="005571E0"/>
    <w:rsid w:val="005807EF"/>
    <w:rsid w:val="005826FE"/>
    <w:rsid w:val="005915A6"/>
    <w:rsid w:val="005A0BD3"/>
    <w:rsid w:val="005B46EB"/>
    <w:rsid w:val="005B7031"/>
    <w:rsid w:val="005C2037"/>
    <w:rsid w:val="005C754E"/>
    <w:rsid w:val="005D6218"/>
    <w:rsid w:val="005E6DB5"/>
    <w:rsid w:val="00636A93"/>
    <w:rsid w:val="00645374"/>
    <w:rsid w:val="0068201B"/>
    <w:rsid w:val="006C2BFB"/>
    <w:rsid w:val="006E4CD1"/>
    <w:rsid w:val="007121F6"/>
    <w:rsid w:val="00721BBA"/>
    <w:rsid w:val="00723B86"/>
    <w:rsid w:val="007324E2"/>
    <w:rsid w:val="0073438C"/>
    <w:rsid w:val="00744E8F"/>
    <w:rsid w:val="00763B2F"/>
    <w:rsid w:val="00763DAB"/>
    <w:rsid w:val="00775FCC"/>
    <w:rsid w:val="007769B8"/>
    <w:rsid w:val="0078222F"/>
    <w:rsid w:val="0079061B"/>
    <w:rsid w:val="00791B7E"/>
    <w:rsid w:val="00792C64"/>
    <w:rsid w:val="00796433"/>
    <w:rsid w:val="007A35E3"/>
    <w:rsid w:val="007A5EAE"/>
    <w:rsid w:val="007B115D"/>
    <w:rsid w:val="007B66A7"/>
    <w:rsid w:val="007E0E7E"/>
    <w:rsid w:val="00830642"/>
    <w:rsid w:val="00830AD3"/>
    <w:rsid w:val="00855C5D"/>
    <w:rsid w:val="008661C0"/>
    <w:rsid w:val="008715A2"/>
    <w:rsid w:val="00893488"/>
    <w:rsid w:val="008962BA"/>
    <w:rsid w:val="00896C56"/>
    <w:rsid w:val="008D6363"/>
    <w:rsid w:val="00902833"/>
    <w:rsid w:val="00917920"/>
    <w:rsid w:val="0093071E"/>
    <w:rsid w:val="00937AAC"/>
    <w:rsid w:val="00951081"/>
    <w:rsid w:val="009661F7"/>
    <w:rsid w:val="00971C8F"/>
    <w:rsid w:val="009A1BC3"/>
    <w:rsid w:val="009B4205"/>
    <w:rsid w:val="009D56E3"/>
    <w:rsid w:val="009F1260"/>
    <w:rsid w:val="009F73EF"/>
    <w:rsid w:val="00A10AAF"/>
    <w:rsid w:val="00A10D59"/>
    <w:rsid w:val="00A4313A"/>
    <w:rsid w:val="00A602D5"/>
    <w:rsid w:val="00A97830"/>
    <w:rsid w:val="00AB43B4"/>
    <w:rsid w:val="00AC2F56"/>
    <w:rsid w:val="00AE219B"/>
    <w:rsid w:val="00AF407F"/>
    <w:rsid w:val="00B32A4C"/>
    <w:rsid w:val="00B561B3"/>
    <w:rsid w:val="00B90E92"/>
    <w:rsid w:val="00B9470A"/>
    <w:rsid w:val="00BB1850"/>
    <w:rsid w:val="00BD538D"/>
    <w:rsid w:val="00BE2FD9"/>
    <w:rsid w:val="00BE3C31"/>
    <w:rsid w:val="00BE4AE5"/>
    <w:rsid w:val="00BF101C"/>
    <w:rsid w:val="00C101EF"/>
    <w:rsid w:val="00C216F3"/>
    <w:rsid w:val="00C26695"/>
    <w:rsid w:val="00C37601"/>
    <w:rsid w:val="00C5078E"/>
    <w:rsid w:val="00C64914"/>
    <w:rsid w:val="00C72108"/>
    <w:rsid w:val="00C85988"/>
    <w:rsid w:val="00C903D3"/>
    <w:rsid w:val="00C95264"/>
    <w:rsid w:val="00C95AF9"/>
    <w:rsid w:val="00CA1C55"/>
    <w:rsid w:val="00CA6DB9"/>
    <w:rsid w:val="00CC4617"/>
    <w:rsid w:val="00CF00C4"/>
    <w:rsid w:val="00D07FEA"/>
    <w:rsid w:val="00D1031F"/>
    <w:rsid w:val="00D1143A"/>
    <w:rsid w:val="00D1563D"/>
    <w:rsid w:val="00D25D64"/>
    <w:rsid w:val="00D54DA0"/>
    <w:rsid w:val="00D641A1"/>
    <w:rsid w:val="00D8038D"/>
    <w:rsid w:val="00D8142F"/>
    <w:rsid w:val="00D84DBA"/>
    <w:rsid w:val="00DC0E3D"/>
    <w:rsid w:val="00DF18BF"/>
    <w:rsid w:val="00DF2EF7"/>
    <w:rsid w:val="00E22728"/>
    <w:rsid w:val="00E233D9"/>
    <w:rsid w:val="00E23980"/>
    <w:rsid w:val="00E33C5E"/>
    <w:rsid w:val="00E41009"/>
    <w:rsid w:val="00E45077"/>
    <w:rsid w:val="00E5649A"/>
    <w:rsid w:val="00E64E95"/>
    <w:rsid w:val="00E96681"/>
    <w:rsid w:val="00EA3CEE"/>
    <w:rsid w:val="00EA6BE2"/>
    <w:rsid w:val="00EE5E83"/>
    <w:rsid w:val="00EF5E3E"/>
    <w:rsid w:val="00F0267E"/>
    <w:rsid w:val="00F057DE"/>
    <w:rsid w:val="00F159DD"/>
    <w:rsid w:val="00F403BD"/>
    <w:rsid w:val="00F5569A"/>
    <w:rsid w:val="00F763DA"/>
    <w:rsid w:val="00F80088"/>
    <w:rsid w:val="00F91EAB"/>
    <w:rsid w:val="00FA134D"/>
    <w:rsid w:val="00FA3416"/>
    <w:rsid w:val="42ABB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9F405"/>
  <w15:docId w15:val="{A5B0D5D0-7784-4719-9632-C0FAD7D5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56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5C5D"/>
    <w:pPr>
      <w:tabs>
        <w:tab w:val="center" w:pos="4320"/>
        <w:tab w:val="right" w:pos="8640"/>
      </w:tabs>
    </w:pPr>
  </w:style>
  <w:style w:type="character" w:customStyle="1" w:styleId="FooterChar">
    <w:name w:val="Footer Char"/>
    <w:basedOn w:val="DefaultParagraphFont"/>
    <w:link w:val="Footer"/>
    <w:uiPriority w:val="99"/>
    <w:semiHidden/>
    <w:locked/>
    <w:rsid w:val="00D1031F"/>
    <w:rPr>
      <w:rFonts w:cs="Times New Roman"/>
      <w:sz w:val="24"/>
      <w:szCs w:val="24"/>
    </w:rPr>
  </w:style>
  <w:style w:type="character" w:styleId="PageNumber">
    <w:name w:val="page number"/>
    <w:basedOn w:val="DefaultParagraphFont"/>
    <w:uiPriority w:val="99"/>
    <w:rsid w:val="00855C5D"/>
    <w:rPr>
      <w:rFonts w:cs="Times New Roman"/>
    </w:rPr>
  </w:style>
  <w:style w:type="paragraph" w:styleId="BalloonText">
    <w:name w:val="Balloon Text"/>
    <w:basedOn w:val="Normal"/>
    <w:link w:val="BalloonTextChar"/>
    <w:uiPriority w:val="99"/>
    <w:semiHidden/>
    <w:unhideWhenUsed/>
    <w:rsid w:val="00084818"/>
    <w:rPr>
      <w:rFonts w:ascii="Tahoma" w:hAnsi="Tahoma" w:cs="Tahoma"/>
      <w:sz w:val="16"/>
      <w:szCs w:val="16"/>
    </w:rPr>
  </w:style>
  <w:style w:type="character" w:customStyle="1" w:styleId="BalloonTextChar">
    <w:name w:val="Balloon Text Char"/>
    <w:basedOn w:val="DefaultParagraphFont"/>
    <w:link w:val="BalloonText"/>
    <w:uiPriority w:val="99"/>
    <w:semiHidden/>
    <w:rsid w:val="00084818"/>
    <w:rPr>
      <w:rFonts w:ascii="Tahoma" w:hAnsi="Tahoma" w:cs="Tahoma"/>
      <w:sz w:val="16"/>
      <w:szCs w:val="16"/>
    </w:rPr>
  </w:style>
  <w:style w:type="character" w:styleId="CommentReference">
    <w:name w:val="annotation reference"/>
    <w:basedOn w:val="DefaultParagraphFont"/>
    <w:uiPriority w:val="99"/>
    <w:semiHidden/>
    <w:unhideWhenUsed/>
    <w:rsid w:val="005B7031"/>
    <w:rPr>
      <w:sz w:val="16"/>
      <w:szCs w:val="16"/>
    </w:rPr>
  </w:style>
  <w:style w:type="paragraph" w:styleId="CommentText">
    <w:name w:val="annotation text"/>
    <w:basedOn w:val="Normal"/>
    <w:link w:val="CommentTextChar"/>
    <w:uiPriority w:val="99"/>
    <w:semiHidden/>
    <w:unhideWhenUsed/>
    <w:rsid w:val="005B7031"/>
    <w:rPr>
      <w:sz w:val="20"/>
      <w:szCs w:val="20"/>
    </w:rPr>
  </w:style>
  <w:style w:type="character" w:customStyle="1" w:styleId="CommentTextChar">
    <w:name w:val="Comment Text Char"/>
    <w:basedOn w:val="DefaultParagraphFont"/>
    <w:link w:val="CommentText"/>
    <w:uiPriority w:val="99"/>
    <w:semiHidden/>
    <w:rsid w:val="005B7031"/>
    <w:rPr>
      <w:sz w:val="20"/>
      <w:szCs w:val="20"/>
    </w:rPr>
  </w:style>
  <w:style w:type="paragraph" w:styleId="CommentSubject">
    <w:name w:val="annotation subject"/>
    <w:basedOn w:val="CommentText"/>
    <w:next w:val="CommentText"/>
    <w:link w:val="CommentSubjectChar"/>
    <w:uiPriority w:val="99"/>
    <w:semiHidden/>
    <w:unhideWhenUsed/>
    <w:rsid w:val="005B7031"/>
    <w:rPr>
      <w:b/>
      <w:bCs/>
    </w:rPr>
  </w:style>
  <w:style w:type="character" w:customStyle="1" w:styleId="CommentSubjectChar">
    <w:name w:val="Comment Subject Char"/>
    <w:basedOn w:val="CommentTextChar"/>
    <w:link w:val="CommentSubject"/>
    <w:uiPriority w:val="99"/>
    <w:semiHidden/>
    <w:rsid w:val="005B7031"/>
    <w:rPr>
      <w:b/>
      <w:bCs/>
      <w:sz w:val="20"/>
      <w:szCs w:val="20"/>
    </w:rPr>
  </w:style>
  <w:style w:type="paragraph" w:styleId="Revision">
    <w:name w:val="Revision"/>
    <w:hidden/>
    <w:uiPriority w:val="99"/>
    <w:semiHidden/>
    <w:rsid w:val="005B7031"/>
    <w:pPr>
      <w:spacing w:after="0" w:line="240" w:lineRule="auto"/>
    </w:pPr>
    <w:rPr>
      <w:sz w:val="24"/>
      <w:szCs w:val="24"/>
    </w:rPr>
  </w:style>
  <w:style w:type="table" w:customStyle="1" w:styleId="TableGrid1">
    <w:name w:val="Table Grid1"/>
    <w:basedOn w:val="TableNormal"/>
    <w:next w:val="TableGrid"/>
    <w:uiPriority w:val="99"/>
    <w:rsid w:val="00B32A4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600"/>
    <w:pPr>
      <w:spacing w:after="160" w:line="278" w:lineRule="auto"/>
      <w:ind w:left="720"/>
      <w:contextualSpacing/>
    </w:pPr>
    <w:rPr>
      <w:rFonts w:asciiTheme="minorHAnsi" w:eastAsiaTheme="minorHAnsi" w:hAnsiTheme="minorHAnsi" w:cstheme="minorBidi"/>
      <w:kern w:val="2"/>
      <w:lang w:val="en-ZA"/>
      <w14:ligatures w14:val="standardContextual"/>
    </w:rPr>
  </w:style>
  <w:style w:type="paragraph" w:customStyle="1" w:styleId="head1">
    <w:name w:val="head1"/>
    <w:basedOn w:val="Normal"/>
    <w:rsid w:val="005915A6"/>
    <w:pPr>
      <w:widowControl w:val="0"/>
      <w:spacing w:before="360"/>
    </w:pPr>
    <w:rPr>
      <w:b/>
      <w:szCs w:val="20"/>
      <w:lang w:val="en-GB"/>
    </w:rPr>
  </w:style>
  <w:style w:type="paragraph" w:customStyle="1" w:styleId="000">
    <w:name w:val="0.00"/>
    <w:basedOn w:val="Normal"/>
    <w:rsid w:val="00F5569A"/>
    <w:pPr>
      <w:widowControl w:val="0"/>
      <w:tabs>
        <w:tab w:val="left" w:pos="794"/>
      </w:tabs>
      <w:spacing w:before="120"/>
      <w:ind w:left="794" w:hanging="794"/>
      <w:jc w:val="both"/>
    </w:pPr>
    <w:rPr>
      <w:sz w:val="22"/>
      <w:szCs w:val="20"/>
      <w:lang w:val="en-GB"/>
    </w:rPr>
  </w:style>
  <w:style w:type="paragraph" w:customStyle="1" w:styleId="a-0000">
    <w:name w:val="(a)-00.00"/>
    <w:basedOn w:val="Normal"/>
    <w:rsid w:val="00F5569A"/>
    <w:pPr>
      <w:widowControl w:val="0"/>
      <w:tabs>
        <w:tab w:val="left" w:pos="794"/>
        <w:tab w:val="left" w:pos="1304"/>
      </w:tabs>
      <w:spacing w:before="180"/>
      <w:ind w:left="1304" w:hanging="1304"/>
      <w:jc w:val="both"/>
    </w:pPr>
    <w:rPr>
      <w:rFonts w:ascii="Verdana" w:hAnsi="Verdana"/>
      <w:sz w:val="18"/>
      <w:szCs w:val="20"/>
      <w:lang w:val="en-GB"/>
    </w:rPr>
  </w:style>
  <w:style w:type="paragraph" w:customStyle="1" w:styleId="i-0000a">
    <w:name w:val="(i)-0.000(a)"/>
    <w:basedOn w:val="Normal"/>
    <w:rsid w:val="008661C0"/>
    <w:pPr>
      <w:widowControl w:val="0"/>
      <w:tabs>
        <w:tab w:val="right" w:pos="1758"/>
        <w:tab w:val="left" w:pos="1871"/>
      </w:tabs>
      <w:spacing w:before="180"/>
      <w:ind w:left="1871" w:hanging="1871"/>
      <w:jc w:val="both"/>
    </w:pPr>
    <w:rPr>
      <w:rFonts w:ascii="Verdana" w:hAnsi="Verdana"/>
      <w:sz w:val="18"/>
      <w:szCs w:val="20"/>
      <w:lang w:val="en-GB"/>
    </w:rPr>
  </w:style>
  <w:style w:type="paragraph" w:customStyle="1" w:styleId="000aiaa">
    <w:name w:val="0.00(a)(i)(aa)"/>
    <w:basedOn w:val="Normal"/>
    <w:rsid w:val="008661C0"/>
    <w:pPr>
      <w:widowControl w:val="0"/>
      <w:tabs>
        <w:tab w:val="left" w:pos="1928"/>
        <w:tab w:val="left" w:pos="2438"/>
      </w:tabs>
      <w:spacing w:before="180"/>
      <w:ind w:left="2438" w:hanging="2438"/>
      <w:jc w:val="both"/>
    </w:pPr>
    <w:rPr>
      <w:rFonts w:ascii="Verdana" w:hAnsi="Verdana"/>
      <w:sz w:val="18"/>
      <w:szCs w:val="20"/>
      <w:lang w:val="en-GB"/>
    </w:rPr>
  </w:style>
  <w:style w:type="paragraph" w:customStyle="1" w:styleId="1-000a">
    <w:name w:val="(1)-0.00(a)"/>
    <w:basedOn w:val="Normal"/>
    <w:rsid w:val="008661C0"/>
    <w:pPr>
      <w:widowControl w:val="0"/>
      <w:tabs>
        <w:tab w:val="left" w:pos="1304"/>
        <w:tab w:val="left" w:pos="1871"/>
        <w:tab w:val="left" w:pos="2268"/>
      </w:tabs>
      <w:spacing w:before="180"/>
      <w:ind w:left="1871" w:hanging="1871"/>
      <w:jc w:val="both"/>
    </w:pPr>
    <w:rPr>
      <w:rFonts w:ascii="Verdana" w:hAnsi="Verdana"/>
      <w:sz w:val="18"/>
      <w:szCs w:val="20"/>
      <w:lang w:val="en-GB"/>
    </w:rPr>
  </w:style>
  <w:style w:type="paragraph" w:customStyle="1" w:styleId="parafullout">
    <w:name w:val="parafullout"/>
    <w:basedOn w:val="Normal"/>
    <w:rsid w:val="003D40EE"/>
    <w:pPr>
      <w:widowControl w:val="0"/>
      <w:spacing w:before="120" w:after="160" w:line="278" w:lineRule="auto"/>
    </w:pPr>
    <w:rPr>
      <w:rFonts w:asciiTheme="minorHAnsi" w:eastAsiaTheme="minorHAnsi" w:hAnsiTheme="minorHAnsi" w:cstheme="minorBidi"/>
      <w:kern w:val="2"/>
      <w:szCs w:val="20"/>
      <w:lang w:val="en-ZA"/>
      <w14:ligatures w14:val="standardContextual"/>
    </w:rPr>
  </w:style>
  <w:style w:type="paragraph" w:customStyle="1" w:styleId="head2">
    <w:name w:val="head2"/>
    <w:basedOn w:val="Normal"/>
    <w:rsid w:val="0022639A"/>
    <w:pPr>
      <w:widowControl w:val="0"/>
      <w:spacing w:before="300"/>
    </w:pPr>
    <w:rPr>
      <w:b/>
      <w:sz w:val="22"/>
      <w:szCs w:val="20"/>
      <w:lang w:val="en-GB"/>
    </w:rPr>
  </w:style>
  <w:style w:type="paragraph" w:customStyle="1" w:styleId="i-000a">
    <w:name w:val="(i)-0.00(a)"/>
    <w:basedOn w:val="Normal"/>
    <w:rsid w:val="004870BB"/>
    <w:pPr>
      <w:widowControl w:val="0"/>
      <w:tabs>
        <w:tab w:val="right" w:pos="1758"/>
        <w:tab w:val="left" w:pos="1928"/>
      </w:tabs>
      <w:spacing w:before="120"/>
      <w:ind w:left="1928" w:hanging="1928"/>
      <w:jc w:val="both"/>
    </w:pPr>
    <w:rPr>
      <w:sz w:val="22"/>
      <w:szCs w:val="20"/>
      <w:lang w:val="en-GB"/>
    </w:rPr>
  </w:style>
  <w:style w:type="paragraph" w:styleId="Header">
    <w:name w:val="header"/>
    <w:basedOn w:val="Normal"/>
    <w:link w:val="HeaderChar"/>
    <w:uiPriority w:val="99"/>
    <w:semiHidden/>
    <w:unhideWhenUsed/>
    <w:rsid w:val="00893488"/>
    <w:pPr>
      <w:tabs>
        <w:tab w:val="center" w:pos="4513"/>
        <w:tab w:val="right" w:pos="9026"/>
      </w:tabs>
    </w:pPr>
  </w:style>
  <w:style w:type="character" w:customStyle="1" w:styleId="HeaderChar">
    <w:name w:val="Header Char"/>
    <w:basedOn w:val="DefaultParagraphFont"/>
    <w:link w:val="Header"/>
    <w:uiPriority w:val="99"/>
    <w:semiHidden/>
    <w:rsid w:val="008934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Props1.xml><?xml version="1.0" encoding="utf-8"?>
<ds:datastoreItem xmlns:ds="http://schemas.openxmlformats.org/officeDocument/2006/customXml" ds:itemID="{CD3A7ABF-AEAB-4DA9-8FC5-B3B21827CAF5}">
  <ds:schemaRefs>
    <ds:schemaRef ds:uri="http://schemas.openxmlformats.org/officeDocument/2006/bibliography"/>
  </ds:schemaRefs>
</ds:datastoreItem>
</file>

<file path=customXml/itemProps2.xml><?xml version="1.0" encoding="utf-8"?>
<ds:datastoreItem xmlns:ds="http://schemas.openxmlformats.org/officeDocument/2006/customXml" ds:itemID="{54FEB669-283A-4C7C-9E36-04DDD773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4c4e-6ff9-4c9f-8b88-bfecc0c6e440"/>
    <ds:schemaRef ds:uri="7e55ded4-6bfb-494c-8161-9ba6af09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169EA-8846-4C92-8DB6-EA6DCCC20472}">
  <ds:schemaRefs>
    <ds:schemaRef ds:uri="http://schemas.microsoft.com/sharepoint/v3/contenttype/forms"/>
  </ds:schemaRefs>
</ds:datastoreItem>
</file>

<file path=customXml/itemProps4.xml><?xml version="1.0" encoding="utf-8"?>
<ds:datastoreItem xmlns:ds="http://schemas.openxmlformats.org/officeDocument/2006/customXml" ds:itemID="{A373234C-2777-44CA-9E8B-FB27617CEAA7}">
  <ds:schemaRefs>
    <ds:schemaRef ds:uri="http://schemas.microsoft.com/office/2006/metadata/properties"/>
    <ds:schemaRef ds:uri="http://schemas.microsoft.com/office/infopath/2007/PartnerControls"/>
    <ds:schemaRef ds:uri="920d4c4e-6ff9-4c9f-8b88-bfecc0c6e440"/>
    <ds:schemaRef ds:uri="7e55ded4-6bfb-494c-8161-9ba6af09e1b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1154</Words>
  <Characters>6539</Characters>
  <Application>Microsoft Office Word</Application>
  <DocSecurity>0</DocSecurity>
  <Lines>726</Lines>
  <Paragraphs>480</Paragraphs>
  <ScaleCrop>false</ScaleCrop>
  <Company>I.R.I.S.</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Repurchase Specific Authority</dc:title>
  <dc:creator>Readiris</dc:creator>
  <cp:lastModifiedBy>Bernardine Joubert</cp:lastModifiedBy>
  <cp:revision>69</cp:revision>
  <cp:lastPrinted>2006-02-22T09:56:00Z</cp:lastPrinted>
  <dcterms:created xsi:type="dcterms:W3CDTF">2025-12-04T07:42:00Z</dcterms:created>
  <dcterms:modified xsi:type="dcterms:W3CDTF">2026-01-23T10:40:00Z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0x010100C82FA746240FC740AD3CB72B73894C92</vt:lpwstr>
  </property>
  <property fmtid="{D5CDD505-2E9C-101B-9397-08002B2CF9AE}" pid="4" name="JSENavigation">
    <vt:lpwstr>15;#Issuer Regulation|99067b85-c558-44a1-b781-11281df7a622</vt:lpwstr>
  </property>
  <property fmtid="{D5CDD505-2E9C-101B-9397-08002B2CF9AE}" pid="5" name="MSIP_Label_ce93fc94-2a04-4870-acee-9c0cd4b7d590_Enabled">
    <vt:lpwstr>true</vt:lpwstr>
  </property>
  <property fmtid="{D5CDD505-2E9C-101B-9397-08002B2CF9AE}" pid="6" name="MSIP_Label_ce93fc94-2a04-4870-acee-9c0cd4b7d590_SetDate">
    <vt:lpwstr>2022-09-05T12:21:18Z</vt:lpwstr>
  </property>
  <property fmtid="{D5CDD505-2E9C-101B-9397-08002B2CF9AE}" pid="7" name="MSIP_Label_ce93fc94-2a04-4870-acee-9c0cd4b7d590_Method">
    <vt:lpwstr>Standard</vt:lpwstr>
  </property>
  <property fmtid="{D5CDD505-2E9C-101B-9397-08002B2CF9AE}" pid="8" name="MSIP_Label_ce93fc94-2a04-4870-acee-9c0cd4b7d590_Name">
    <vt:lpwstr>Internal</vt:lpwstr>
  </property>
  <property fmtid="{D5CDD505-2E9C-101B-9397-08002B2CF9AE}" pid="9" name="MSIP_Label_ce93fc94-2a04-4870-acee-9c0cd4b7d590_SiteId">
    <vt:lpwstr>cffa6640-7572-4f05-9c64-cd88068c19d4</vt:lpwstr>
  </property>
  <property fmtid="{D5CDD505-2E9C-101B-9397-08002B2CF9AE}" pid="10" name="MSIP_Label_ce93fc94-2a04-4870-acee-9c0cd4b7d590_ActionId">
    <vt:lpwstr>e01ff41b-a66d-499d-9cb5-a1b2d44384e4</vt:lpwstr>
  </property>
  <property fmtid="{D5CDD505-2E9C-101B-9397-08002B2CF9AE}" pid="11" name="MSIP_Label_ce93fc94-2a04-4870-acee-9c0cd4b7d590_ContentBits">
    <vt:lpwstr>0</vt:lpwstr>
  </property>
  <property fmtid="{D5CDD505-2E9C-101B-9397-08002B2CF9AE}" pid="12" name="MediaServiceImageTags">
    <vt:lpwstr/>
  </property>
</Properties>
</file>