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887" w:type="dxa"/>
        <w:tblLook w:val="04A0" w:firstRow="1" w:lastRow="0" w:firstColumn="1" w:lastColumn="0" w:noHBand="0" w:noVBand="1"/>
      </w:tblPr>
      <w:tblGrid>
        <w:gridCol w:w="13887"/>
      </w:tblGrid>
      <w:tr w:rsidR="00763B2F" w:rsidRPr="004870BB" w14:paraId="19F176CF" w14:textId="77777777" w:rsidTr="00636A93">
        <w:tc>
          <w:tcPr>
            <w:tcW w:w="13887" w:type="dxa"/>
            <w:shd w:val="clear" w:color="auto" w:fill="92D050"/>
          </w:tcPr>
          <w:p w14:paraId="4338F426" w14:textId="458294C6" w:rsidR="000C53D6" w:rsidRPr="004870BB" w:rsidRDefault="005C2037" w:rsidP="00D03073">
            <w:pPr>
              <w:jc w:val="center"/>
              <w:rPr>
                <w:rFonts w:ascii="Arial" w:hAnsi="Arial" w:cs="Arial"/>
                <w:b/>
                <w:bCs/>
                <w:sz w:val="20"/>
                <w:szCs w:val="20"/>
              </w:rPr>
            </w:pPr>
            <w:r w:rsidRPr="004870BB">
              <w:rPr>
                <w:rFonts w:ascii="Arial" w:hAnsi="Arial" w:cs="Arial"/>
                <w:b/>
                <w:bCs/>
                <w:sz w:val="20"/>
                <w:szCs w:val="20"/>
              </w:rPr>
              <w:t xml:space="preserve">Annual </w:t>
            </w:r>
            <w:r w:rsidR="00DB4E4A">
              <w:rPr>
                <w:rFonts w:ascii="Arial" w:hAnsi="Arial" w:cs="Arial"/>
                <w:b/>
                <w:bCs/>
                <w:sz w:val="20"/>
                <w:szCs w:val="20"/>
              </w:rPr>
              <w:t>Report</w:t>
            </w:r>
            <w:r w:rsidRPr="004870BB">
              <w:rPr>
                <w:rFonts w:ascii="Arial" w:hAnsi="Arial" w:cs="Arial"/>
                <w:b/>
                <w:bCs/>
                <w:sz w:val="20"/>
                <w:szCs w:val="20"/>
              </w:rPr>
              <w:t xml:space="preserve"> </w:t>
            </w:r>
          </w:p>
          <w:p w14:paraId="01C5BD07" w14:textId="77777777" w:rsidR="007E0E7E" w:rsidRPr="004870BB" w:rsidRDefault="007E0E7E" w:rsidP="00D03073">
            <w:pPr>
              <w:jc w:val="center"/>
              <w:rPr>
                <w:rFonts w:ascii="Arial" w:hAnsi="Arial" w:cs="Arial"/>
                <w:b/>
                <w:bCs/>
                <w:sz w:val="20"/>
                <w:szCs w:val="20"/>
              </w:rPr>
            </w:pPr>
            <w:r w:rsidRPr="004870BB">
              <w:rPr>
                <w:rFonts w:ascii="Arial" w:hAnsi="Arial" w:cs="Arial"/>
                <w:b/>
                <w:bCs/>
                <w:sz w:val="20"/>
                <w:szCs w:val="20"/>
              </w:rPr>
              <w:t>January 2026</w:t>
            </w:r>
          </w:p>
        </w:tc>
      </w:tr>
    </w:tbl>
    <w:p w14:paraId="5F679EB1" w14:textId="77777777" w:rsidR="007E0E7E" w:rsidRPr="004870BB" w:rsidRDefault="007E0E7E" w:rsidP="007E0E7E">
      <w:pPr>
        <w:jc w:val="center"/>
        <w:rPr>
          <w:rFonts w:ascii="Arial" w:hAnsi="Arial" w:cs="Arial"/>
          <w:b/>
          <w:bCs/>
          <w:sz w:val="20"/>
          <w:szCs w:val="20"/>
        </w:rPr>
      </w:pPr>
    </w:p>
    <w:p w14:paraId="253FE5B0" w14:textId="41913805" w:rsidR="007E0E7E" w:rsidRPr="004870BB" w:rsidRDefault="007769B8" w:rsidP="007769B8">
      <w:pPr>
        <w:rPr>
          <w:rFonts w:ascii="Arial" w:hAnsi="Arial" w:cs="Arial"/>
          <w:b/>
          <w:bCs/>
          <w:sz w:val="20"/>
          <w:szCs w:val="20"/>
        </w:rPr>
      </w:pPr>
      <w:r w:rsidRPr="004870BB">
        <w:rPr>
          <w:rFonts w:ascii="Arial" w:hAnsi="Arial" w:cs="Arial"/>
          <w:b/>
          <w:bCs/>
          <w:sz w:val="20"/>
          <w:szCs w:val="20"/>
        </w:rPr>
        <w:t>Issuer Name:</w:t>
      </w:r>
      <w:r w:rsidR="000E2736" w:rsidRPr="004870BB">
        <w:rPr>
          <w:rFonts w:ascii="Arial" w:hAnsi="Arial" w:cs="Arial"/>
          <w:b/>
          <w:bCs/>
          <w:sz w:val="20"/>
          <w:szCs w:val="20"/>
        </w:rPr>
        <w:t xml:space="preserve"> [………………………….]</w:t>
      </w:r>
    </w:p>
    <w:p w14:paraId="378342FC" w14:textId="77777777" w:rsidR="007769B8" w:rsidRPr="004870BB" w:rsidRDefault="007769B8" w:rsidP="007769B8">
      <w:pPr>
        <w:rPr>
          <w:rFonts w:ascii="Arial" w:hAnsi="Arial" w:cs="Arial"/>
          <w:b/>
          <w:bCs/>
          <w:sz w:val="20"/>
          <w:szCs w:val="20"/>
        </w:rPr>
      </w:pPr>
    </w:p>
    <w:p w14:paraId="3A988E05" w14:textId="17836A15" w:rsidR="007769B8" w:rsidRPr="004870BB" w:rsidRDefault="000E2736" w:rsidP="007769B8">
      <w:pPr>
        <w:rPr>
          <w:rFonts w:ascii="Arial" w:hAnsi="Arial" w:cs="Arial"/>
          <w:b/>
          <w:bCs/>
          <w:sz w:val="20"/>
          <w:szCs w:val="20"/>
        </w:rPr>
      </w:pPr>
      <w:r w:rsidRPr="004870BB">
        <w:rPr>
          <w:rFonts w:ascii="Arial" w:hAnsi="Arial" w:cs="Arial"/>
          <w:b/>
          <w:bCs/>
          <w:sz w:val="20"/>
          <w:szCs w:val="20"/>
        </w:rPr>
        <w:t>Financial</w:t>
      </w:r>
      <w:r w:rsidR="007769B8" w:rsidRPr="004870BB">
        <w:rPr>
          <w:rFonts w:ascii="Arial" w:hAnsi="Arial" w:cs="Arial"/>
          <w:b/>
          <w:bCs/>
          <w:sz w:val="20"/>
          <w:szCs w:val="20"/>
        </w:rPr>
        <w:t xml:space="preserve"> Year: </w:t>
      </w:r>
      <w:r w:rsidRPr="004870BB">
        <w:rPr>
          <w:rFonts w:ascii="Arial" w:hAnsi="Arial" w:cs="Arial"/>
          <w:b/>
          <w:bCs/>
          <w:sz w:val="20"/>
          <w:szCs w:val="20"/>
        </w:rPr>
        <w:t>[……………….]</w:t>
      </w:r>
    </w:p>
    <w:p w14:paraId="2E2D5B03" w14:textId="77777777" w:rsidR="007769B8" w:rsidRDefault="007769B8" w:rsidP="007E0E7E">
      <w:pPr>
        <w:jc w:val="center"/>
        <w:rPr>
          <w:rFonts w:ascii="Arial" w:hAnsi="Arial" w:cs="Arial"/>
          <w:b/>
          <w:bCs/>
          <w:sz w:val="20"/>
          <w:szCs w:val="20"/>
        </w:rPr>
      </w:pPr>
    </w:p>
    <w:p w14:paraId="21520C8A" w14:textId="63B7DF2D" w:rsidR="00E428BA" w:rsidRPr="00BA64B2" w:rsidRDefault="00E428BA" w:rsidP="007E0E7E">
      <w:pPr>
        <w:jc w:val="center"/>
        <w:rPr>
          <w:rFonts w:ascii="Arial" w:hAnsi="Arial" w:cs="Arial"/>
          <w:b/>
          <w:bCs/>
          <w:sz w:val="20"/>
          <w:szCs w:val="20"/>
        </w:rPr>
      </w:pPr>
      <w:r w:rsidRPr="00BA64B2">
        <w:rPr>
          <w:rFonts w:ascii="Arial" w:hAnsi="Arial" w:cs="Arial"/>
          <w:b/>
          <w:bCs/>
          <w:sz w:val="20"/>
          <w:szCs w:val="20"/>
        </w:rPr>
        <w:t xml:space="preserve">Primary Listings – Mainboard and </w:t>
      </w:r>
      <w:proofErr w:type="spellStart"/>
      <w:r w:rsidRPr="00BA64B2">
        <w:rPr>
          <w:rFonts w:ascii="Arial" w:hAnsi="Arial" w:cs="Arial"/>
          <w:b/>
          <w:bCs/>
          <w:sz w:val="20"/>
          <w:szCs w:val="20"/>
        </w:rPr>
        <w:t>AltX</w:t>
      </w:r>
      <w:proofErr w:type="spellEnd"/>
    </w:p>
    <w:p w14:paraId="08F94394" w14:textId="77777777" w:rsidR="007769B8" w:rsidRPr="004870BB" w:rsidRDefault="007769B8" w:rsidP="007E0E7E">
      <w:pPr>
        <w:jc w:val="center"/>
        <w:rPr>
          <w:rFonts w:ascii="Arial" w:hAnsi="Arial" w:cs="Arial"/>
          <w:b/>
          <w:bCs/>
          <w:sz w:val="20"/>
          <w:szCs w:val="20"/>
        </w:rPr>
      </w:pPr>
    </w:p>
    <w:tbl>
      <w:tblPr>
        <w:tblStyle w:val="TableGrid"/>
        <w:tblW w:w="13892" w:type="dxa"/>
        <w:tblInd w:w="-5" w:type="dxa"/>
        <w:tblLayout w:type="fixed"/>
        <w:tblLook w:val="01E0" w:firstRow="1" w:lastRow="1" w:firstColumn="1" w:lastColumn="1" w:noHBand="0" w:noVBand="0"/>
      </w:tblPr>
      <w:tblGrid>
        <w:gridCol w:w="524"/>
        <w:gridCol w:w="2170"/>
        <w:gridCol w:w="3118"/>
        <w:gridCol w:w="8080"/>
      </w:tblGrid>
      <w:tr w:rsidR="00763B2F" w:rsidRPr="004870BB" w14:paraId="4F1FBC6F" w14:textId="269F3CD3" w:rsidTr="00C56709">
        <w:tc>
          <w:tcPr>
            <w:tcW w:w="524" w:type="dxa"/>
            <w:shd w:val="clear" w:color="auto" w:fill="BFBFBF" w:themeFill="background1" w:themeFillShade="BF"/>
          </w:tcPr>
          <w:p w14:paraId="1F5B4E4E" w14:textId="77777777" w:rsidR="00636A93" w:rsidRPr="004870BB" w:rsidRDefault="00636A93" w:rsidP="00D03073">
            <w:pPr>
              <w:jc w:val="center"/>
              <w:rPr>
                <w:rFonts w:ascii="Arial" w:hAnsi="Arial" w:cs="Arial"/>
                <w:b/>
                <w:bCs/>
                <w:sz w:val="20"/>
                <w:szCs w:val="20"/>
              </w:rPr>
            </w:pPr>
          </w:p>
        </w:tc>
        <w:tc>
          <w:tcPr>
            <w:tcW w:w="2170" w:type="dxa"/>
            <w:shd w:val="clear" w:color="auto" w:fill="BFBFBF" w:themeFill="background1" w:themeFillShade="BF"/>
          </w:tcPr>
          <w:p w14:paraId="0CD7D71D" w14:textId="77777777" w:rsidR="00636A93" w:rsidRPr="004870BB" w:rsidRDefault="00636A93" w:rsidP="00D14313">
            <w:pPr>
              <w:rPr>
                <w:rFonts w:ascii="Arial" w:hAnsi="Arial" w:cs="Arial"/>
                <w:b/>
                <w:bCs/>
                <w:sz w:val="20"/>
                <w:szCs w:val="20"/>
              </w:rPr>
            </w:pPr>
            <w:r w:rsidRPr="004870BB">
              <w:rPr>
                <w:rFonts w:ascii="Arial" w:hAnsi="Arial" w:cs="Arial"/>
                <w:b/>
                <w:bCs/>
                <w:sz w:val="20"/>
                <w:szCs w:val="20"/>
              </w:rPr>
              <w:t>LR Ref</w:t>
            </w:r>
          </w:p>
        </w:tc>
        <w:tc>
          <w:tcPr>
            <w:tcW w:w="3118" w:type="dxa"/>
            <w:shd w:val="clear" w:color="auto" w:fill="BFBFBF" w:themeFill="background1" w:themeFillShade="BF"/>
          </w:tcPr>
          <w:p w14:paraId="4F641FAB" w14:textId="77777777" w:rsidR="00636A93" w:rsidRPr="004870BB" w:rsidRDefault="00636A93" w:rsidP="00D14313">
            <w:pPr>
              <w:rPr>
                <w:rFonts w:ascii="Arial" w:hAnsi="Arial" w:cs="Arial"/>
                <w:b/>
                <w:bCs/>
                <w:sz w:val="20"/>
                <w:szCs w:val="20"/>
              </w:rPr>
            </w:pPr>
            <w:r w:rsidRPr="004870BB">
              <w:rPr>
                <w:rFonts w:ascii="Arial" w:hAnsi="Arial" w:cs="Arial"/>
                <w:b/>
                <w:bCs/>
                <w:sz w:val="20"/>
                <w:szCs w:val="20"/>
              </w:rPr>
              <w:t>Paragraph reference where this is addressed or reason why not addressed</w:t>
            </w:r>
          </w:p>
        </w:tc>
        <w:tc>
          <w:tcPr>
            <w:tcW w:w="8080" w:type="dxa"/>
            <w:shd w:val="clear" w:color="auto" w:fill="BFBFBF" w:themeFill="background1" w:themeFillShade="BF"/>
          </w:tcPr>
          <w:p w14:paraId="45ED4098" w14:textId="19665978" w:rsidR="00636A93" w:rsidRPr="004870BB" w:rsidRDefault="007B66A7" w:rsidP="00D14313">
            <w:pPr>
              <w:rPr>
                <w:rFonts w:ascii="Arial" w:hAnsi="Arial" w:cs="Arial"/>
                <w:b/>
                <w:bCs/>
                <w:sz w:val="20"/>
                <w:szCs w:val="20"/>
              </w:rPr>
            </w:pPr>
            <w:r w:rsidRPr="004870BB">
              <w:rPr>
                <w:rFonts w:ascii="Arial" w:hAnsi="Arial" w:cs="Arial"/>
                <w:b/>
                <w:bCs/>
                <w:sz w:val="20"/>
                <w:szCs w:val="20"/>
              </w:rPr>
              <w:t xml:space="preserve">LR Extracts </w:t>
            </w:r>
          </w:p>
        </w:tc>
      </w:tr>
      <w:tr w:rsidR="00C56709" w:rsidRPr="004870BB" w:rsidDel="004E375D" w14:paraId="1FD35EFB" w14:textId="41ABB784" w:rsidTr="00C56709">
        <w:tc>
          <w:tcPr>
            <w:tcW w:w="524" w:type="dxa"/>
          </w:tcPr>
          <w:p w14:paraId="2C880FCD" w14:textId="77777777" w:rsidR="00C56709" w:rsidRPr="004870BB" w:rsidRDefault="00C56709" w:rsidP="00872BB2">
            <w:pPr>
              <w:spacing w:line="276" w:lineRule="auto"/>
              <w:ind w:left="360"/>
              <w:rPr>
                <w:rFonts w:ascii="Arial" w:hAnsi="Arial" w:cs="Arial"/>
                <w:iCs/>
                <w:sz w:val="20"/>
                <w:szCs w:val="20"/>
              </w:rPr>
            </w:pPr>
          </w:p>
        </w:tc>
        <w:tc>
          <w:tcPr>
            <w:tcW w:w="2170" w:type="dxa"/>
          </w:tcPr>
          <w:p w14:paraId="17FFCB38" w14:textId="77777777" w:rsidR="00C56709" w:rsidRPr="004870BB" w:rsidDel="004E375D" w:rsidRDefault="00C56709" w:rsidP="00D14313">
            <w:pPr>
              <w:rPr>
                <w:rFonts w:ascii="Arial" w:hAnsi="Arial" w:cs="Arial"/>
                <w:iCs/>
                <w:sz w:val="20"/>
                <w:szCs w:val="20"/>
              </w:rPr>
            </w:pPr>
            <w:r w:rsidRPr="00A973BD">
              <w:rPr>
                <w:rFonts w:ascii="Arial" w:hAnsi="Arial" w:cs="Arial"/>
                <w:b/>
                <w:bCs/>
                <w:sz w:val="20"/>
                <w:szCs w:val="20"/>
              </w:rPr>
              <w:t>Additional content for annual reports</w:t>
            </w:r>
            <w:r w:rsidRPr="00A973BD" w:rsidDel="004E375D">
              <w:rPr>
                <w:rFonts w:ascii="Arial" w:hAnsi="Arial" w:cs="Arial"/>
                <w:iCs/>
                <w:sz w:val="20"/>
                <w:szCs w:val="20"/>
              </w:rPr>
              <w:t xml:space="preserve"> </w:t>
            </w:r>
          </w:p>
        </w:tc>
        <w:tc>
          <w:tcPr>
            <w:tcW w:w="3118" w:type="dxa"/>
          </w:tcPr>
          <w:p w14:paraId="4B23DEE9" w14:textId="77777777" w:rsidR="00C56709" w:rsidRPr="004870BB" w:rsidDel="004E375D" w:rsidRDefault="00C56709" w:rsidP="00D14313">
            <w:pPr>
              <w:rPr>
                <w:rFonts w:ascii="Arial" w:hAnsi="Arial" w:cs="Arial"/>
                <w:iCs/>
                <w:sz w:val="20"/>
                <w:szCs w:val="20"/>
              </w:rPr>
            </w:pPr>
          </w:p>
        </w:tc>
        <w:tc>
          <w:tcPr>
            <w:tcW w:w="8080" w:type="dxa"/>
          </w:tcPr>
          <w:p w14:paraId="73AC2C60" w14:textId="62CE1B72" w:rsidR="00C56709" w:rsidRPr="004870BB" w:rsidDel="004E375D" w:rsidRDefault="00C56709" w:rsidP="00D14313">
            <w:pPr>
              <w:rPr>
                <w:rFonts w:ascii="Arial" w:hAnsi="Arial" w:cs="Arial"/>
                <w:iCs/>
                <w:sz w:val="20"/>
                <w:szCs w:val="20"/>
              </w:rPr>
            </w:pPr>
          </w:p>
        </w:tc>
      </w:tr>
      <w:tr w:rsidR="00D44BAD" w:rsidRPr="004870BB" w:rsidDel="004E375D" w14:paraId="21316050" w14:textId="58409EC4" w:rsidTr="00C56709">
        <w:tc>
          <w:tcPr>
            <w:tcW w:w="524" w:type="dxa"/>
          </w:tcPr>
          <w:p w14:paraId="0AEF8C9E" w14:textId="77777777" w:rsidR="00D44BAD" w:rsidRPr="004870BB" w:rsidRDefault="00D44BAD" w:rsidP="00872BB2">
            <w:pPr>
              <w:numPr>
                <w:ilvl w:val="0"/>
                <w:numId w:val="2"/>
              </w:numPr>
              <w:spacing w:line="276" w:lineRule="auto"/>
              <w:rPr>
                <w:rFonts w:ascii="Arial" w:hAnsi="Arial" w:cs="Arial"/>
                <w:iCs/>
                <w:sz w:val="20"/>
                <w:szCs w:val="20"/>
              </w:rPr>
            </w:pPr>
          </w:p>
        </w:tc>
        <w:tc>
          <w:tcPr>
            <w:tcW w:w="2170" w:type="dxa"/>
          </w:tcPr>
          <w:p w14:paraId="22F23D2D" w14:textId="4A887670" w:rsidR="00D44BAD" w:rsidRPr="004870BB" w:rsidRDefault="00D44BAD" w:rsidP="00D14313">
            <w:pPr>
              <w:rPr>
                <w:rFonts w:ascii="Arial" w:hAnsi="Arial" w:cs="Arial"/>
                <w:iCs/>
                <w:sz w:val="20"/>
                <w:szCs w:val="20"/>
              </w:rPr>
            </w:pPr>
            <w:r>
              <w:rPr>
                <w:rFonts w:ascii="Arial" w:hAnsi="Arial" w:cs="Arial"/>
                <w:iCs/>
                <w:sz w:val="20"/>
                <w:szCs w:val="20"/>
              </w:rPr>
              <w:t>11.38(a)(</w:t>
            </w:r>
            <w:proofErr w:type="spellStart"/>
            <w:r>
              <w:rPr>
                <w:rFonts w:ascii="Arial" w:hAnsi="Arial" w:cs="Arial"/>
                <w:iCs/>
                <w:sz w:val="20"/>
                <w:szCs w:val="20"/>
              </w:rPr>
              <w:t>i</w:t>
            </w:r>
            <w:proofErr w:type="spellEnd"/>
            <w:r>
              <w:rPr>
                <w:rFonts w:ascii="Arial" w:hAnsi="Arial" w:cs="Arial"/>
                <w:iCs/>
                <w:sz w:val="20"/>
                <w:szCs w:val="20"/>
              </w:rPr>
              <w:t>)</w:t>
            </w:r>
          </w:p>
        </w:tc>
        <w:tc>
          <w:tcPr>
            <w:tcW w:w="3118" w:type="dxa"/>
            <w:vMerge w:val="restart"/>
          </w:tcPr>
          <w:p w14:paraId="4221AE88" w14:textId="77777777" w:rsidR="00D44BAD" w:rsidRPr="004870BB" w:rsidDel="004E375D" w:rsidRDefault="00D44BAD" w:rsidP="00D14313">
            <w:pPr>
              <w:rPr>
                <w:rFonts w:ascii="Arial" w:hAnsi="Arial" w:cs="Arial"/>
                <w:iCs/>
                <w:sz w:val="20"/>
                <w:szCs w:val="20"/>
              </w:rPr>
            </w:pPr>
          </w:p>
        </w:tc>
        <w:tc>
          <w:tcPr>
            <w:tcW w:w="8080" w:type="dxa"/>
            <w:vMerge w:val="restart"/>
          </w:tcPr>
          <w:p w14:paraId="6E287C76" w14:textId="41A6DA5B" w:rsidR="00D44BAD" w:rsidRPr="00872BB2" w:rsidRDefault="00D44BAD" w:rsidP="00D14313">
            <w:pPr>
              <w:rPr>
                <w:rFonts w:ascii="Arial" w:hAnsi="Arial" w:cs="Arial"/>
                <w:iCs/>
                <w:sz w:val="20"/>
                <w:szCs w:val="20"/>
                <w:lang w:val="en-ZA"/>
              </w:rPr>
            </w:pPr>
            <w:r>
              <w:rPr>
                <w:rFonts w:ascii="Arial" w:hAnsi="Arial" w:cs="Arial"/>
                <w:iCs/>
                <w:sz w:val="20"/>
                <w:szCs w:val="20"/>
                <w:lang w:val="en-ZA"/>
              </w:rPr>
              <w:t xml:space="preserve">The </w:t>
            </w:r>
            <w:r w:rsidRPr="00872BB2">
              <w:rPr>
                <w:rFonts w:ascii="Arial" w:hAnsi="Arial" w:cs="Arial"/>
                <w:iCs/>
                <w:sz w:val="20"/>
                <w:szCs w:val="20"/>
                <w:lang w:val="en-ZA"/>
              </w:rPr>
              <w:t xml:space="preserve">application of the King Code: </w:t>
            </w:r>
          </w:p>
          <w:p w14:paraId="223BB72D" w14:textId="50D2B505" w:rsidR="00D44BAD" w:rsidRPr="00186D25" w:rsidRDefault="00D44BAD" w:rsidP="00D14313">
            <w:pPr>
              <w:pStyle w:val="ListParagraph"/>
              <w:numPr>
                <w:ilvl w:val="0"/>
                <w:numId w:val="10"/>
              </w:numPr>
              <w:spacing w:line="240" w:lineRule="auto"/>
              <w:rPr>
                <w:rFonts w:ascii="Arial" w:hAnsi="Arial" w:cs="Arial"/>
                <w:iCs/>
                <w:sz w:val="20"/>
                <w:szCs w:val="20"/>
              </w:rPr>
            </w:pPr>
            <w:r w:rsidRPr="00186D25">
              <w:rPr>
                <w:rFonts w:ascii="Arial" w:hAnsi="Arial" w:cs="Arial"/>
                <w:iCs/>
                <w:sz w:val="20"/>
                <w:szCs w:val="20"/>
              </w:rPr>
              <w:t xml:space="preserve">the implementation of the King Code through the King Code application and disclosure regime, which may be incorporated via a weblink; and </w:t>
            </w:r>
          </w:p>
          <w:p w14:paraId="4B582632" w14:textId="798451ED" w:rsidR="00D44BAD" w:rsidRPr="004A3FF0" w:rsidRDefault="00D44BAD" w:rsidP="00D14313">
            <w:pPr>
              <w:pStyle w:val="ListParagraph"/>
              <w:numPr>
                <w:ilvl w:val="0"/>
                <w:numId w:val="10"/>
              </w:numPr>
              <w:spacing w:line="240" w:lineRule="auto"/>
              <w:rPr>
                <w:rFonts w:ascii="Arial" w:hAnsi="Arial" w:cs="Arial"/>
                <w:iCs/>
                <w:sz w:val="20"/>
                <w:szCs w:val="20"/>
              </w:rPr>
            </w:pPr>
            <w:r w:rsidRPr="00186D25">
              <w:rPr>
                <w:rFonts w:ascii="Arial" w:hAnsi="Arial" w:cs="Arial"/>
                <w:iCs/>
                <w:sz w:val="20"/>
                <w:szCs w:val="20"/>
              </w:rPr>
              <w:t>a narrative on the non-binding advisory votes in terms of 5.7(k), dealing with (1) who the issuer engaged with and the manner and form of engagement and (2) the nature and steps taken to address objections</w:t>
            </w:r>
          </w:p>
          <w:p w14:paraId="59905B04" w14:textId="3E487790" w:rsidR="00D44BAD" w:rsidRPr="004A3FF0" w:rsidRDefault="00D44BAD" w:rsidP="00D14313">
            <w:pPr>
              <w:rPr>
                <w:rFonts w:ascii="Arial" w:hAnsi="Arial" w:cs="Arial"/>
                <w:iCs/>
                <w:color w:val="00B050"/>
                <w:sz w:val="20"/>
                <w:szCs w:val="20"/>
                <w:lang w:val="en-ZA"/>
              </w:rPr>
            </w:pPr>
            <w:r w:rsidRPr="004A3FF0">
              <w:rPr>
                <w:rFonts w:ascii="Arial" w:hAnsi="Arial" w:cs="Arial"/>
                <w:iCs/>
                <w:color w:val="00B050"/>
                <w:sz w:val="20"/>
                <w:szCs w:val="20"/>
                <w:lang w:val="en-ZA"/>
              </w:rPr>
              <w:t xml:space="preserve">ALTX must comply with the following: </w:t>
            </w:r>
          </w:p>
          <w:p w14:paraId="120081EC" w14:textId="09321432" w:rsidR="00D44BAD" w:rsidRPr="004A3FF0" w:rsidRDefault="00D44BAD" w:rsidP="00D14313">
            <w:pPr>
              <w:rPr>
                <w:rFonts w:ascii="Arial" w:hAnsi="Arial" w:cs="Arial"/>
                <w:iCs/>
                <w:color w:val="00B050"/>
                <w:sz w:val="20"/>
                <w:szCs w:val="20"/>
                <w:lang w:val="en-ZA"/>
              </w:rPr>
            </w:pPr>
            <w:r w:rsidRPr="004A3FF0">
              <w:rPr>
                <w:rFonts w:ascii="Arial" w:hAnsi="Arial" w:cs="Arial"/>
                <w:iCs/>
                <w:color w:val="00B050"/>
                <w:sz w:val="20"/>
                <w:szCs w:val="20"/>
                <w:lang w:val="en-ZA"/>
              </w:rPr>
              <w:t>5.8 a) adopt and apply Part 5.3 (Governing Structures and Delegation of the King Code) of the King Code, through the King Code application and disclosure regime</w:t>
            </w:r>
          </w:p>
          <w:p w14:paraId="4217AE8D" w14:textId="613D7124" w:rsidR="00D44BAD" w:rsidRPr="00974BB9" w:rsidDel="004E375D" w:rsidRDefault="00D44BAD" w:rsidP="00D14313">
            <w:pPr>
              <w:rPr>
                <w:rFonts w:ascii="Arial" w:hAnsi="Arial" w:cs="Arial"/>
                <w:iCs/>
                <w:sz w:val="20"/>
                <w:szCs w:val="20"/>
              </w:rPr>
            </w:pPr>
            <w:r w:rsidRPr="004A3FF0">
              <w:rPr>
                <w:rFonts w:ascii="Arial" w:hAnsi="Arial" w:cs="Arial"/>
                <w:iCs/>
                <w:color w:val="00B050"/>
                <w:sz w:val="20"/>
                <w:szCs w:val="20"/>
                <w:lang w:val="en-ZA"/>
              </w:rPr>
              <w:t>(b) the provisions of 5.7(b) CV, 5.7(c) experience, 5.7(e) financial director, 5.7(f) company secretary, 5.7(h) audit committee, 5.7(j) board diversity policy and 5.7(k) non-binding vote on remuneration</w:t>
            </w:r>
          </w:p>
        </w:tc>
      </w:tr>
      <w:tr w:rsidR="00D44BAD" w:rsidRPr="004870BB" w:rsidDel="004E375D" w14:paraId="73A6DA9B" w14:textId="59A9C8C9" w:rsidTr="00C56709">
        <w:tc>
          <w:tcPr>
            <w:tcW w:w="524" w:type="dxa"/>
          </w:tcPr>
          <w:p w14:paraId="7E48ACC8" w14:textId="77777777" w:rsidR="00D44BAD" w:rsidRPr="004870BB" w:rsidRDefault="00D44BAD" w:rsidP="00872BB2">
            <w:pPr>
              <w:numPr>
                <w:ilvl w:val="0"/>
                <w:numId w:val="2"/>
              </w:numPr>
              <w:spacing w:line="276" w:lineRule="auto"/>
              <w:rPr>
                <w:rFonts w:ascii="Arial" w:hAnsi="Arial" w:cs="Arial"/>
                <w:iCs/>
                <w:sz w:val="20"/>
                <w:szCs w:val="20"/>
              </w:rPr>
            </w:pPr>
          </w:p>
        </w:tc>
        <w:tc>
          <w:tcPr>
            <w:tcW w:w="2170" w:type="dxa"/>
          </w:tcPr>
          <w:p w14:paraId="45197F0C" w14:textId="42AA9CC5" w:rsidR="00D44BAD" w:rsidRPr="004870BB" w:rsidDel="004E375D" w:rsidRDefault="00D44BAD" w:rsidP="00D14313">
            <w:pPr>
              <w:rPr>
                <w:rFonts w:ascii="Arial" w:hAnsi="Arial" w:cs="Arial"/>
                <w:iCs/>
                <w:sz w:val="20"/>
                <w:szCs w:val="20"/>
              </w:rPr>
            </w:pPr>
            <w:r>
              <w:rPr>
                <w:rFonts w:ascii="Arial" w:hAnsi="Arial" w:cs="Arial"/>
                <w:iCs/>
                <w:sz w:val="20"/>
                <w:szCs w:val="20"/>
              </w:rPr>
              <w:t>11.38(a)(ii)</w:t>
            </w:r>
          </w:p>
        </w:tc>
        <w:tc>
          <w:tcPr>
            <w:tcW w:w="3118" w:type="dxa"/>
            <w:vMerge/>
          </w:tcPr>
          <w:p w14:paraId="7E2BDC14" w14:textId="77777777" w:rsidR="00D44BAD" w:rsidRPr="004870BB" w:rsidDel="004E375D" w:rsidRDefault="00D44BAD" w:rsidP="00D14313">
            <w:pPr>
              <w:rPr>
                <w:rFonts w:ascii="Arial" w:hAnsi="Arial" w:cs="Arial"/>
                <w:iCs/>
                <w:sz w:val="20"/>
                <w:szCs w:val="20"/>
              </w:rPr>
            </w:pPr>
          </w:p>
        </w:tc>
        <w:tc>
          <w:tcPr>
            <w:tcW w:w="8080" w:type="dxa"/>
            <w:vMerge/>
          </w:tcPr>
          <w:p w14:paraId="6188B90F" w14:textId="77777777" w:rsidR="00D44BAD" w:rsidRPr="004870BB" w:rsidDel="004E375D" w:rsidRDefault="00D44BAD" w:rsidP="00D14313">
            <w:pPr>
              <w:rPr>
                <w:rFonts w:ascii="Arial" w:hAnsi="Arial" w:cs="Arial"/>
                <w:iCs/>
                <w:sz w:val="20"/>
                <w:szCs w:val="20"/>
              </w:rPr>
            </w:pPr>
          </w:p>
        </w:tc>
      </w:tr>
      <w:tr w:rsidR="00763B2F" w:rsidRPr="004870BB" w:rsidDel="004E375D" w14:paraId="40D99417" w14:textId="0A217165" w:rsidTr="00C56709">
        <w:tc>
          <w:tcPr>
            <w:tcW w:w="524" w:type="dxa"/>
          </w:tcPr>
          <w:p w14:paraId="631D6983" w14:textId="77777777" w:rsidR="00F5569A" w:rsidRPr="004870BB" w:rsidRDefault="00F5569A" w:rsidP="00872BB2">
            <w:pPr>
              <w:numPr>
                <w:ilvl w:val="0"/>
                <w:numId w:val="2"/>
              </w:numPr>
              <w:spacing w:line="276" w:lineRule="auto"/>
              <w:rPr>
                <w:rFonts w:ascii="Arial" w:hAnsi="Arial" w:cs="Arial"/>
                <w:iCs/>
                <w:sz w:val="20"/>
                <w:szCs w:val="20"/>
              </w:rPr>
            </w:pPr>
          </w:p>
        </w:tc>
        <w:tc>
          <w:tcPr>
            <w:tcW w:w="2170" w:type="dxa"/>
          </w:tcPr>
          <w:p w14:paraId="7A65B482" w14:textId="23AA9E29" w:rsidR="00F5569A" w:rsidRPr="004870BB" w:rsidRDefault="00160D49" w:rsidP="00D14313">
            <w:pPr>
              <w:rPr>
                <w:rFonts w:ascii="Arial" w:hAnsi="Arial" w:cs="Arial"/>
                <w:iCs/>
                <w:sz w:val="20"/>
                <w:szCs w:val="20"/>
              </w:rPr>
            </w:pPr>
            <w:r>
              <w:rPr>
                <w:rFonts w:ascii="Arial" w:hAnsi="Arial" w:cs="Arial"/>
                <w:iCs/>
                <w:sz w:val="20"/>
                <w:szCs w:val="20"/>
              </w:rPr>
              <w:t>11.38(b)</w:t>
            </w:r>
          </w:p>
        </w:tc>
        <w:tc>
          <w:tcPr>
            <w:tcW w:w="3118" w:type="dxa"/>
          </w:tcPr>
          <w:p w14:paraId="2ACACAFA" w14:textId="77777777" w:rsidR="00F5569A" w:rsidRPr="004870BB" w:rsidDel="004E375D" w:rsidRDefault="00F5569A" w:rsidP="00D14313">
            <w:pPr>
              <w:rPr>
                <w:rFonts w:ascii="Arial" w:hAnsi="Arial" w:cs="Arial"/>
                <w:iCs/>
                <w:sz w:val="20"/>
                <w:szCs w:val="20"/>
              </w:rPr>
            </w:pPr>
          </w:p>
        </w:tc>
        <w:tc>
          <w:tcPr>
            <w:tcW w:w="8080" w:type="dxa"/>
          </w:tcPr>
          <w:p w14:paraId="4007E27E" w14:textId="1D349F6A" w:rsidR="00F5569A" w:rsidRPr="004870BB" w:rsidDel="004E375D" w:rsidRDefault="00AB7234" w:rsidP="00D14313">
            <w:pPr>
              <w:rPr>
                <w:rFonts w:ascii="Arial" w:hAnsi="Arial" w:cs="Arial"/>
                <w:iCs/>
                <w:sz w:val="20"/>
                <w:szCs w:val="20"/>
              </w:rPr>
            </w:pPr>
            <w:r>
              <w:rPr>
                <w:rFonts w:ascii="Arial" w:hAnsi="Arial" w:cs="Arial"/>
                <w:iCs/>
                <w:sz w:val="20"/>
                <w:szCs w:val="20"/>
                <w:lang w:val="en-ZA"/>
              </w:rPr>
              <w:t>T</w:t>
            </w:r>
            <w:r w:rsidRPr="00AB7234">
              <w:rPr>
                <w:rFonts w:ascii="Arial" w:hAnsi="Arial" w:cs="Arial"/>
                <w:iCs/>
                <w:sz w:val="20"/>
                <w:szCs w:val="20"/>
                <w:lang w:val="en-ZA"/>
              </w:rPr>
              <w:t>he information regarding trading statements in 6.26</w:t>
            </w:r>
          </w:p>
        </w:tc>
      </w:tr>
      <w:tr w:rsidR="00763B2F" w:rsidRPr="004870BB" w:rsidDel="004E375D" w14:paraId="1A3CCAFE" w14:textId="6290719D" w:rsidTr="00C56709">
        <w:tc>
          <w:tcPr>
            <w:tcW w:w="524" w:type="dxa"/>
          </w:tcPr>
          <w:p w14:paraId="761303D4"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5286D52D" w14:textId="19265717" w:rsidR="008661C0" w:rsidRPr="004870BB" w:rsidRDefault="00160D49" w:rsidP="00D14313">
            <w:pPr>
              <w:rPr>
                <w:rFonts w:ascii="Arial" w:hAnsi="Arial" w:cs="Arial"/>
                <w:iCs/>
                <w:sz w:val="20"/>
                <w:szCs w:val="20"/>
              </w:rPr>
            </w:pPr>
            <w:r>
              <w:rPr>
                <w:rFonts w:ascii="Arial" w:hAnsi="Arial" w:cs="Arial"/>
                <w:iCs/>
                <w:sz w:val="20"/>
                <w:szCs w:val="20"/>
              </w:rPr>
              <w:t>11.38(c)</w:t>
            </w:r>
          </w:p>
        </w:tc>
        <w:tc>
          <w:tcPr>
            <w:tcW w:w="3118" w:type="dxa"/>
          </w:tcPr>
          <w:p w14:paraId="19ACEE40" w14:textId="77777777" w:rsidR="008661C0" w:rsidRPr="004870BB" w:rsidDel="004E375D" w:rsidRDefault="008661C0" w:rsidP="00D14313">
            <w:pPr>
              <w:rPr>
                <w:rFonts w:ascii="Arial" w:hAnsi="Arial" w:cs="Arial"/>
                <w:iCs/>
                <w:sz w:val="20"/>
                <w:szCs w:val="20"/>
              </w:rPr>
            </w:pPr>
          </w:p>
        </w:tc>
        <w:tc>
          <w:tcPr>
            <w:tcW w:w="8080" w:type="dxa"/>
          </w:tcPr>
          <w:p w14:paraId="21BE9BB7" w14:textId="77777777" w:rsidR="008661C0" w:rsidRDefault="00AB7234" w:rsidP="00D14313">
            <w:pPr>
              <w:rPr>
                <w:rFonts w:ascii="Arial" w:hAnsi="Arial" w:cs="Arial"/>
                <w:iCs/>
                <w:sz w:val="20"/>
                <w:szCs w:val="20"/>
                <w:lang w:val="en-ZA"/>
              </w:rPr>
            </w:pPr>
            <w:r>
              <w:rPr>
                <w:rFonts w:ascii="Arial" w:hAnsi="Arial" w:cs="Arial"/>
                <w:iCs/>
                <w:sz w:val="20"/>
                <w:szCs w:val="20"/>
                <w:lang w:val="en-ZA"/>
              </w:rPr>
              <w:t>T</w:t>
            </w:r>
            <w:r w:rsidRPr="00AB7234">
              <w:rPr>
                <w:rFonts w:ascii="Arial" w:hAnsi="Arial" w:cs="Arial"/>
                <w:iCs/>
                <w:sz w:val="20"/>
                <w:szCs w:val="20"/>
                <w:lang w:val="en-ZA"/>
              </w:rPr>
              <w:t>he corporate governance information in 5.2 (capacity of directors) and 5.7(b) (brief CV), (d) (chief executive officer and chair), (e) (financial director), (f) (company secretary), (g) (board committees), (h) (audit committee), (</w:t>
            </w:r>
            <w:proofErr w:type="spellStart"/>
            <w:r w:rsidRPr="00AB7234">
              <w:rPr>
                <w:rFonts w:ascii="Arial" w:hAnsi="Arial" w:cs="Arial"/>
                <w:iCs/>
                <w:sz w:val="20"/>
                <w:szCs w:val="20"/>
                <w:lang w:val="en-ZA"/>
              </w:rPr>
              <w:t>i</w:t>
            </w:r>
            <w:proofErr w:type="spellEnd"/>
            <w:r w:rsidRPr="00AB7234">
              <w:rPr>
                <w:rFonts w:ascii="Arial" w:hAnsi="Arial" w:cs="Arial"/>
                <w:iCs/>
                <w:sz w:val="20"/>
                <w:szCs w:val="20"/>
                <w:lang w:val="en-ZA"/>
              </w:rPr>
              <w:t>) (balance of power) and (j) (diversity at board level</w:t>
            </w:r>
            <w:proofErr w:type="gramStart"/>
            <w:r w:rsidRPr="00AB7234">
              <w:rPr>
                <w:rFonts w:ascii="Arial" w:hAnsi="Arial" w:cs="Arial"/>
                <w:iCs/>
                <w:sz w:val="20"/>
                <w:szCs w:val="20"/>
                <w:lang w:val="en-ZA"/>
              </w:rPr>
              <w:t>);</w:t>
            </w:r>
            <w:proofErr w:type="gramEnd"/>
          </w:p>
          <w:p w14:paraId="4DA5AE70" w14:textId="77777777" w:rsidR="00F0505D" w:rsidRDefault="00F0505D" w:rsidP="00D14313">
            <w:pPr>
              <w:rPr>
                <w:rFonts w:ascii="Arial" w:hAnsi="Arial" w:cs="Arial"/>
                <w:iCs/>
                <w:sz w:val="20"/>
                <w:szCs w:val="20"/>
              </w:rPr>
            </w:pPr>
          </w:p>
          <w:p w14:paraId="0506F11A" w14:textId="4C937991" w:rsidR="00351BFF" w:rsidRPr="008C7895" w:rsidRDefault="00454F92" w:rsidP="00D14313">
            <w:pPr>
              <w:rPr>
                <w:rFonts w:ascii="Arial" w:hAnsi="Arial" w:cs="Arial"/>
                <w:iCs/>
                <w:color w:val="00B050"/>
                <w:sz w:val="20"/>
                <w:szCs w:val="20"/>
              </w:rPr>
            </w:pPr>
            <w:proofErr w:type="spellStart"/>
            <w:r w:rsidRPr="008C7895">
              <w:rPr>
                <w:rFonts w:ascii="Arial" w:hAnsi="Arial" w:cs="Arial"/>
                <w:iCs/>
                <w:color w:val="00B050"/>
                <w:sz w:val="20"/>
                <w:szCs w:val="20"/>
              </w:rPr>
              <w:t>A</w:t>
            </w:r>
            <w:r w:rsidR="00806F7D" w:rsidRPr="008C7895">
              <w:rPr>
                <w:rFonts w:ascii="Arial" w:hAnsi="Arial" w:cs="Arial"/>
                <w:iCs/>
                <w:color w:val="00B050"/>
                <w:sz w:val="20"/>
                <w:szCs w:val="20"/>
              </w:rPr>
              <w:t>ltX</w:t>
            </w:r>
            <w:proofErr w:type="spellEnd"/>
            <w:r w:rsidR="00806F7D" w:rsidRPr="008C7895">
              <w:rPr>
                <w:rFonts w:ascii="Arial" w:hAnsi="Arial" w:cs="Arial"/>
                <w:iCs/>
                <w:color w:val="00B050"/>
                <w:sz w:val="20"/>
                <w:szCs w:val="20"/>
              </w:rPr>
              <w:t>: 5.8(b)</w:t>
            </w:r>
          </w:p>
          <w:p w14:paraId="361FC1CA" w14:textId="30723421" w:rsidR="008B3117" w:rsidRPr="000C3536" w:rsidRDefault="008B3117" w:rsidP="00D14313">
            <w:pPr>
              <w:rPr>
                <w:rFonts w:ascii="Arial" w:hAnsi="Arial" w:cs="Arial"/>
                <w:iCs/>
                <w:color w:val="00B050"/>
                <w:sz w:val="20"/>
                <w:szCs w:val="20"/>
              </w:rPr>
            </w:pPr>
            <w:r w:rsidRPr="008C7895">
              <w:rPr>
                <w:rFonts w:ascii="Arial" w:hAnsi="Arial" w:cs="Arial"/>
                <w:iCs/>
                <w:color w:val="00B050"/>
                <w:sz w:val="20"/>
                <w:szCs w:val="20"/>
              </w:rPr>
              <w:t>SPAC</w:t>
            </w:r>
            <w:r w:rsidR="00A33F89" w:rsidRPr="008C7895">
              <w:rPr>
                <w:rFonts w:ascii="Arial" w:hAnsi="Arial" w:cs="Arial"/>
                <w:iCs/>
                <w:color w:val="00B050"/>
                <w:sz w:val="20"/>
                <w:szCs w:val="20"/>
              </w:rPr>
              <w:t xml:space="preserve">: </w:t>
            </w:r>
            <w:r w:rsidR="008C7895" w:rsidRPr="008C7895">
              <w:rPr>
                <w:rFonts w:ascii="Arial" w:hAnsi="Arial" w:cs="Arial"/>
                <w:iCs/>
                <w:color w:val="00B050"/>
                <w:sz w:val="20"/>
                <w:szCs w:val="20"/>
              </w:rPr>
              <w:t>15.20(a)</w:t>
            </w:r>
          </w:p>
          <w:p w14:paraId="5A637F7B" w14:textId="58D4D8D2" w:rsidR="00F0505D" w:rsidRPr="004870BB" w:rsidDel="004E375D" w:rsidRDefault="00F0505D" w:rsidP="00D14313">
            <w:pPr>
              <w:rPr>
                <w:rFonts w:ascii="Arial" w:hAnsi="Arial" w:cs="Arial"/>
                <w:iCs/>
                <w:sz w:val="20"/>
                <w:szCs w:val="20"/>
              </w:rPr>
            </w:pPr>
          </w:p>
        </w:tc>
      </w:tr>
      <w:tr w:rsidR="00763B2F" w:rsidRPr="004870BB" w:rsidDel="004E375D" w14:paraId="6DCBBE19" w14:textId="5EA300A0" w:rsidTr="00C56709">
        <w:tc>
          <w:tcPr>
            <w:tcW w:w="524" w:type="dxa"/>
          </w:tcPr>
          <w:p w14:paraId="29443F87"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3A45DBEF" w14:textId="4AD22914" w:rsidR="008661C0" w:rsidRPr="004870BB" w:rsidRDefault="00160D49" w:rsidP="00D14313">
            <w:pPr>
              <w:rPr>
                <w:rFonts w:ascii="Arial" w:hAnsi="Arial" w:cs="Arial"/>
                <w:iCs/>
                <w:sz w:val="20"/>
                <w:szCs w:val="20"/>
              </w:rPr>
            </w:pPr>
            <w:r>
              <w:rPr>
                <w:rFonts w:ascii="Arial" w:hAnsi="Arial" w:cs="Arial"/>
                <w:iCs/>
                <w:sz w:val="20"/>
                <w:szCs w:val="20"/>
              </w:rPr>
              <w:t>11.38(d)</w:t>
            </w:r>
          </w:p>
        </w:tc>
        <w:tc>
          <w:tcPr>
            <w:tcW w:w="3118" w:type="dxa"/>
          </w:tcPr>
          <w:p w14:paraId="25133B04" w14:textId="77777777" w:rsidR="008661C0" w:rsidRPr="004870BB" w:rsidDel="004E375D" w:rsidRDefault="008661C0" w:rsidP="00D14313">
            <w:pPr>
              <w:rPr>
                <w:rFonts w:ascii="Arial" w:hAnsi="Arial" w:cs="Arial"/>
                <w:iCs/>
                <w:sz w:val="20"/>
                <w:szCs w:val="20"/>
              </w:rPr>
            </w:pPr>
          </w:p>
        </w:tc>
        <w:tc>
          <w:tcPr>
            <w:tcW w:w="8080" w:type="dxa"/>
          </w:tcPr>
          <w:p w14:paraId="2E5BD64A" w14:textId="06B3D6EC" w:rsidR="008661C0" w:rsidRPr="004870BB" w:rsidDel="004E375D" w:rsidRDefault="00A0420B" w:rsidP="00D14313">
            <w:pPr>
              <w:rPr>
                <w:rFonts w:ascii="Arial" w:hAnsi="Arial" w:cs="Arial"/>
                <w:iCs/>
                <w:sz w:val="20"/>
                <w:szCs w:val="20"/>
              </w:rPr>
            </w:pPr>
            <w:r>
              <w:rPr>
                <w:rFonts w:ascii="Arial" w:hAnsi="Arial" w:cs="Arial"/>
                <w:iCs/>
                <w:sz w:val="20"/>
                <w:szCs w:val="20"/>
                <w:lang w:val="en-ZA"/>
              </w:rPr>
              <w:t>A</w:t>
            </w:r>
            <w:r w:rsidR="00A74088" w:rsidRPr="00A74088">
              <w:rPr>
                <w:rFonts w:ascii="Arial" w:hAnsi="Arial" w:cs="Arial"/>
                <w:iCs/>
                <w:sz w:val="20"/>
                <w:szCs w:val="20"/>
                <w:lang w:val="en-ZA"/>
              </w:rPr>
              <w:t xml:space="preserve"> narrative dealing with compliance with the laws of establishment and the MOI of the issuer in terms of B.14 in Section 10</w:t>
            </w:r>
          </w:p>
        </w:tc>
      </w:tr>
      <w:tr w:rsidR="00763B2F" w:rsidRPr="004870BB" w:rsidDel="004E375D" w14:paraId="2F844D98" w14:textId="2A640DB6" w:rsidTr="00C56709">
        <w:tc>
          <w:tcPr>
            <w:tcW w:w="524" w:type="dxa"/>
          </w:tcPr>
          <w:p w14:paraId="3C48C762"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4F15CFA5" w14:textId="483324C6" w:rsidR="008661C0" w:rsidRPr="004870BB" w:rsidRDefault="00160D49" w:rsidP="00D14313">
            <w:pPr>
              <w:rPr>
                <w:rFonts w:ascii="Arial" w:hAnsi="Arial" w:cs="Arial"/>
                <w:iCs/>
                <w:sz w:val="20"/>
                <w:szCs w:val="20"/>
              </w:rPr>
            </w:pPr>
            <w:r>
              <w:rPr>
                <w:rFonts w:ascii="Arial" w:hAnsi="Arial" w:cs="Arial"/>
                <w:iCs/>
                <w:sz w:val="20"/>
                <w:szCs w:val="20"/>
              </w:rPr>
              <w:t>11.38(e)</w:t>
            </w:r>
          </w:p>
        </w:tc>
        <w:tc>
          <w:tcPr>
            <w:tcW w:w="3118" w:type="dxa"/>
          </w:tcPr>
          <w:p w14:paraId="12CBCD01" w14:textId="77777777" w:rsidR="008661C0" w:rsidRPr="004870BB" w:rsidDel="004E375D" w:rsidRDefault="008661C0" w:rsidP="00D14313">
            <w:pPr>
              <w:rPr>
                <w:rFonts w:ascii="Arial" w:hAnsi="Arial" w:cs="Arial"/>
                <w:iCs/>
                <w:sz w:val="20"/>
                <w:szCs w:val="20"/>
              </w:rPr>
            </w:pPr>
          </w:p>
        </w:tc>
        <w:tc>
          <w:tcPr>
            <w:tcW w:w="8080" w:type="dxa"/>
          </w:tcPr>
          <w:p w14:paraId="5B6ED0CA" w14:textId="4EE36C11" w:rsidR="008661C0" w:rsidRPr="004870BB" w:rsidDel="004E375D" w:rsidRDefault="00A0420B" w:rsidP="00D14313">
            <w:pPr>
              <w:rPr>
                <w:rFonts w:ascii="Arial" w:hAnsi="Arial" w:cs="Arial"/>
                <w:iCs/>
                <w:sz w:val="20"/>
                <w:szCs w:val="20"/>
              </w:rPr>
            </w:pPr>
            <w:r>
              <w:rPr>
                <w:rFonts w:ascii="Arial" w:hAnsi="Arial" w:cs="Arial"/>
                <w:iCs/>
                <w:sz w:val="20"/>
                <w:szCs w:val="20"/>
                <w:lang w:val="en-ZA"/>
              </w:rPr>
              <w:t>M</w:t>
            </w:r>
            <w:r w:rsidR="00A74088" w:rsidRPr="00A74088">
              <w:rPr>
                <w:rFonts w:ascii="Arial" w:hAnsi="Arial" w:cs="Arial"/>
                <w:iCs/>
                <w:sz w:val="20"/>
                <w:szCs w:val="20"/>
                <w:lang w:val="en-ZA"/>
              </w:rPr>
              <w:t>aterial risks in terms of B.16 in Section 10, which may be incorporated via a weblink.</w:t>
            </w:r>
          </w:p>
        </w:tc>
      </w:tr>
      <w:tr w:rsidR="00763B2F" w:rsidRPr="004870BB" w:rsidDel="004E375D" w14:paraId="5FCAF835" w14:textId="1F47BA49" w:rsidTr="00C56709">
        <w:tc>
          <w:tcPr>
            <w:tcW w:w="524" w:type="dxa"/>
          </w:tcPr>
          <w:p w14:paraId="7DA627D2"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6A52AC08" w14:textId="1771E81A" w:rsidR="008661C0" w:rsidRPr="004870BB" w:rsidRDefault="00160D49" w:rsidP="00D14313">
            <w:pPr>
              <w:rPr>
                <w:rFonts w:ascii="Arial" w:hAnsi="Arial" w:cs="Arial"/>
                <w:iCs/>
                <w:sz w:val="20"/>
                <w:szCs w:val="20"/>
              </w:rPr>
            </w:pPr>
            <w:r>
              <w:rPr>
                <w:rFonts w:ascii="Arial" w:hAnsi="Arial" w:cs="Arial"/>
                <w:iCs/>
                <w:sz w:val="20"/>
                <w:szCs w:val="20"/>
              </w:rPr>
              <w:t>11.38(f)</w:t>
            </w:r>
          </w:p>
        </w:tc>
        <w:tc>
          <w:tcPr>
            <w:tcW w:w="3118" w:type="dxa"/>
          </w:tcPr>
          <w:p w14:paraId="009E9BC8" w14:textId="77777777" w:rsidR="008661C0" w:rsidRPr="004870BB" w:rsidDel="004E375D" w:rsidRDefault="008661C0" w:rsidP="00D14313">
            <w:pPr>
              <w:rPr>
                <w:rFonts w:ascii="Arial" w:hAnsi="Arial" w:cs="Arial"/>
                <w:iCs/>
                <w:sz w:val="20"/>
                <w:szCs w:val="20"/>
              </w:rPr>
            </w:pPr>
          </w:p>
        </w:tc>
        <w:tc>
          <w:tcPr>
            <w:tcW w:w="8080" w:type="dxa"/>
          </w:tcPr>
          <w:p w14:paraId="1DC24E80" w14:textId="239FD91B" w:rsidR="008661C0" w:rsidRPr="004870BB" w:rsidDel="004E375D" w:rsidRDefault="00A0420B" w:rsidP="00D14313">
            <w:pPr>
              <w:rPr>
                <w:rFonts w:ascii="Arial" w:hAnsi="Arial" w:cs="Arial"/>
                <w:iCs/>
                <w:sz w:val="20"/>
                <w:szCs w:val="20"/>
              </w:rPr>
            </w:pPr>
            <w:r>
              <w:rPr>
                <w:rFonts w:ascii="Arial" w:hAnsi="Arial" w:cs="Arial"/>
                <w:iCs/>
                <w:sz w:val="20"/>
                <w:szCs w:val="20"/>
                <w:lang w:val="en-ZA"/>
              </w:rPr>
              <w:t>I</w:t>
            </w:r>
            <w:r w:rsidR="00382AE8" w:rsidRPr="00382AE8">
              <w:rPr>
                <w:rFonts w:ascii="Arial" w:hAnsi="Arial" w:cs="Arial"/>
                <w:iCs/>
                <w:sz w:val="20"/>
                <w:szCs w:val="20"/>
                <w:lang w:val="en-ZA"/>
              </w:rPr>
              <w:t>f the results for the period differ by 10% or more from any forecast/ estimate previously published by the issuer for its own results or in the case of a property entity results published in terms of 13.5(a), an explanation of the difference must be provided</w:t>
            </w:r>
          </w:p>
        </w:tc>
      </w:tr>
      <w:tr w:rsidR="00763B2F" w:rsidRPr="004870BB" w:rsidDel="004E375D" w14:paraId="7500BB83" w14:textId="50CEF3E2" w:rsidTr="00C56709">
        <w:tc>
          <w:tcPr>
            <w:tcW w:w="524" w:type="dxa"/>
          </w:tcPr>
          <w:p w14:paraId="5BD5F625"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3A50DF4E" w14:textId="02AEEAAF" w:rsidR="008661C0" w:rsidRPr="004870BB" w:rsidRDefault="00160D49" w:rsidP="00D14313">
            <w:pPr>
              <w:rPr>
                <w:rFonts w:ascii="Arial" w:hAnsi="Arial" w:cs="Arial"/>
                <w:iCs/>
                <w:sz w:val="20"/>
                <w:szCs w:val="20"/>
              </w:rPr>
            </w:pPr>
            <w:r>
              <w:rPr>
                <w:rFonts w:ascii="Arial" w:hAnsi="Arial" w:cs="Arial"/>
                <w:iCs/>
                <w:sz w:val="20"/>
                <w:szCs w:val="20"/>
              </w:rPr>
              <w:t>11.38(g)</w:t>
            </w:r>
          </w:p>
        </w:tc>
        <w:tc>
          <w:tcPr>
            <w:tcW w:w="3118" w:type="dxa"/>
          </w:tcPr>
          <w:p w14:paraId="4B938276" w14:textId="77777777" w:rsidR="008661C0" w:rsidRPr="004870BB" w:rsidDel="004E375D" w:rsidRDefault="008661C0" w:rsidP="00D14313">
            <w:pPr>
              <w:rPr>
                <w:rFonts w:ascii="Arial" w:hAnsi="Arial" w:cs="Arial"/>
                <w:iCs/>
                <w:sz w:val="20"/>
                <w:szCs w:val="20"/>
              </w:rPr>
            </w:pPr>
          </w:p>
        </w:tc>
        <w:tc>
          <w:tcPr>
            <w:tcW w:w="8080" w:type="dxa"/>
          </w:tcPr>
          <w:p w14:paraId="33C9B1FD" w14:textId="77777777" w:rsidR="00C3397E" w:rsidRDefault="00A0420B" w:rsidP="00D14313">
            <w:pPr>
              <w:rPr>
                <w:rFonts w:ascii="Arial" w:hAnsi="Arial" w:cs="Arial"/>
                <w:iCs/>
                <w:sz w:val="20"/>
                <w:szCs w:val="20"/>
                <w:lang w:val="en-ZA"/>
              </w:rPr>
            </w:pPr>
            <w:r>
              <w:rPr>
                <w:rFonts w:ascii="Arial" w:hAnsi="Arial" w:cs="Arial"/>
                <w:iCs/>
                <w:sz w:val="20"/>
                <w:szCs w:val="20"/>
                <w:lang w:val="en-ZA"/>
              </w:rPr>
              <w:t>F</w:t>
            </w:r>
            <w:r w:rsidR="0047440E" w:rsidRPr="0047440E">
              <w:rPr>
                <w:rFonts w:ascii="Arial" w:hAnsi="Arial" w:cs="Arial"/>
                <w:iCs/>
                <w:sz w:val="20"/>
                <w:szCs w:val="20"/>
                <w:lang w:val="en-ZA"/>
              </w:rPr>
              <w:t>or mining companies, the information in terms of 14.10</w:t>
            </w:r>
            <w:r w:rsidR="00E702DA">
              <w:rPr>
                <w:rFonts w:ascii="Arial" w:hAnsi="Arial" w:cs="Arial"/>
                <w:iCs/>
                <w:sz w:val="20"/>
                <w:szCs w:val="20"/>
                <w:lang w:val="en-ZA"/>
              </w:rPr>
              <w:t>.</w:t>
            </w:r>
          </w:p>
          <w:p w14:paraId="2E6F168B" w14:textId="0D999AB1" w:rsidR="00E702DA" w:rsidRPr="00C3397E" w:rsidDel="004E375D" w:rsidRDefault="00E702DA" w:rsidP="00D14313">
            <w:pPr>
              <w:rPr>
                <w:rFonts w:ascii="Arial" w:hAnsi="Arial" w:cs="Arial"/>
                <w:iCs/>
                <w:sz w:val="20"/>
                <w:szCs w:val="20"/>
                <w:lang w:val="en-ZA"/>
              </w:rPr>
            </w:pPr>
            <w:r w:rsidRPr="000C3536">
              <w:rPr>
                <w:rFonts w:ascii="Arial" w:hAnsi="Arial" w:cs="Arial"/>
                <w:iCs/>
                <w:color w:val="00B050"/>
                <w:sz w:val="20"/>
                <w:szCs w:val="20"/>
              </w:rPr>
              <w:t>Please note that this is a separate written submission which must be submitted by the Issuer confirming compliance.</w:t>
            </w:r>
          </w:p>
        </w:tc>
      </w:tr>
      <w:tr w:rsidR="00763B2F" w:rsidRPr="004870BB" w:rsidDel="004E375D" w14:paraId="471598E6" w14:textId="710E2E2D" w:rsidTr="00C56709">
        <w:tc>
          <w:tcPr>
            <w:tcW w:w="524" w:type="dxa"/>
          </w:tcPr>
          <w:p w14:paraId="01A19CD6"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300A5E56" w14:textId="2BF2D53E" w:rsidR="008661C0" w:rsidRPr="004870BB" w:rsidRDefault="00160D49" w:rsidP="00D14313">
            <w:pPr>
              <w:rPr>
                <w:rFonts w:ascii="Arial" w:hAnsi="Arial" w:cs="Arial"/>
                <w:b/>
                <w:bCs/>
                <w:iCs/>
                <w:sz w:val="20"/>
                <w:szCs w:val="20"/>
              </w:rPr>
            </w:pPr>
            <w:r>
              <w:rPr>
                <w:rFonts w:ascii="Arial" w:hAnsi="Arial" w:cs="Arial"/>
                <w:iCs/>
                <w:sz w:val="20"/>
                <w:szCs w:val="20"/>
              </w:rPr>
              <w:t>11.38(h)</w:t>
            </w:r>
          </w:p>
        </w:tc>
        <w:tc>
          <w:tcPr>
            <w:tcW w:w="3118" w:type="dxa"/>
          </w:tcPr>
          <w:p w14:paraId="18D1E39C" w14:textId="77777777" w:rsidR="008661C0" w:rsidRPr="004870BB" w:rsidDel="004E375D" w:rsidRDefault="008661C0" w:rsidP="00D14313">
            <w:pPr>
              <w:rPr>
                <w:rFonts w:ascii="Arial" w:hAnsi="Arial" w:cs="Arial"/>
                <w:iCs/>
                <w:sz w:val="20"/>
                <w:szCs w:val="20"/>
              </w:rPr>
            </w:pPr>
          </w:p>
        </w:tc>
        <w:tc>
          <w:tcPr>
            <w:tcW w:w="8080" w:type="dxa"/>
          </w:tcPr>
          <w:p w14:paraId="480E69AF" w14:textId="76F80334" w:rsidR="008661C0" w:rsidRPr="004870BB" w:rsidDel="004E375D" w:rsidRDefault="00C3397E" w:rsidP="00D14313">
            <w:pPr>
              <w:rPr>
                <w:rFonts w:ascii="Arial" w:hAnsi="Arial" w:cs="Arial"/>
                <w:iCs/>
                <w:sz w:val="20"/>
                <w:szCs w:val="20"/>
              </w:rPr>
            </w:pPr>
            <w:r>
              <w:rPr>
                <w:rFonts w:ascii="Arial" w:hAnsi="Arial" w:cs="Arial"/>
                <w:iCs/>
                <w:sz w:val="20"/>
                <w:szCs w:val="20"/>
                <w:lang w:val="en-ZA"/>
              </w:rPr>
              <w:t>T</w:t>
            </w:r>
            <w:r w:rsidR="0047440E" w:rsidRPr="0047440E">
              <w:rPr>
                <w:rFonts w:ascii="Arial" w:hAnsi="Arial" w:cs="Arial"/>
                <w:iCs/>
                <w:sz w:val="20"/>
                <w:szCs w:val="20"/>
                <w:lang w:val="en-ZA"/>
              </w:rPr>
              <w:t>he separate financial statements of the listed company for a South African company</w:t>
            </w:r>
          </w:p>
        </w:tc>
      </w:tr>
      <w:tr w:rsidR="00763B2F" w:rsidRPr="004870BB" w:rsidDel="004E375D" w14:paraId="64CE5DFC" w14:textId="340E10E3" w:rsidTr="00C56709">
        <w:tc>
          <w:tcPr>
            <w:tcW w:w="524" w:type="dxa"/>
          </w:tcPr>
          <w:p w14:paraId="22977ABF"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284CC29C" w14:textId="724B8FC8" w:rsidR="008661C0" w:rsidRPr="004870BB" w:rsidRDefault="00160D49" w:rsidP="00D14313">
            <w:pPr>
              <w:rPr>
                <w:rFonts w:ascii="Arial" w:hAnsi="Arial" w:cs="Arial"/>
                <w:iCs/>
                <w:sz w:val="20"/>
                <w:szCs w:val="20"/>
              </w:rPr>
            </w:pPr>
            <w:r>
              <w:rPr>
                <w:rFonts w:ascii="Arial" w:hAnsi="Arial" w:cs="Arial"/>
                <w:iCs/>
                <w:sz w:val="20"/>
                <w:szCs w:val="20"/>
              </w:rPr>
              <w:t>11.38(</w:t>
            </w:r>
            <w:proofErr w:type="spellStart"/>
            <w:r>
              <w:rPr>
                <w:rFonts w:ascii="Arial" w:hAnsi="Arial" w:cs="Arial"/>
                <w:iCs/>
                <w:sz w:val="20"/>
                <w:szCs w:val="20"/>
              </w:rPr>
              <w:t>i</w:t>
            </w:r>
            <w:proofErr w:type="spellEnd"/>
            <w:r>
              <w:rPr>
                <w:rFonts w:ascii="Arial" w:hAnsi="Arial" w:cs="Arial"/>
                <w:iCs/>
                <w:sz w:val="20"/>
                <w:szCs w:val="20"/>
              </w:rPr>
              <w:t>)</w:t>
            </w:r>
          </w:p>
        </w:tc>
        <w:tc>
          <w:tcPr>
            <w:tcW w:w="3118" w:type="dxa"/>
          </w:tcPr>
          <w:p w14:paraId="23D2B09E" w14:textId="77777777" w:rsidR="008661C0" w:rsidRPr="004870BB" w:rsidDel="004E375D" w:rsidRDefault="008661C0" w:rsidP="00D14313">
            <w:pPr>
              <w:rPr>
                <w:rFonts w:ascii="Arial" w:hAnsi="Arial" w:cs="Arial"/>
                <w:iCs/>
                <w:sz w:val="20"/>
                <w:szCs w:val="20"/>
              </w:rPr>
            </w:pPr>
          </w:p>
        </w:tc>
        <w:tc>
          <w:tcPr>
            <w:tcW w:w="8080" w:type="dxa"/>
          </w:tcPr>
          <w:p w14:paraId="1AAA9475" w14:textId="3F626E38" w:rsidR="008661C0" w:rsidRPr="004870BB" w:rsidDel="004E375D" w:rsidRDefault="00A0420B" w:rsidP="00D14313">
            <w:pPr>
              <w:rPr>
                <w:rFonts w:ascii="Arial" w:hAnsi="Arial" w:cs="Arial"/>
                <w:iCs/>
                <w:sz w:val="20"/>
                <w:szCs w:val="20"/>
              </w:rPr>
            </w:pPr>
            <w:r>
              <w:rPr>
                <w:rFonts w:ascii="Arial" w:hAnsi="Arial" w:cs="Arial"/>
                <w:iCs/>
                <w:sz w:val="20"/>
                <w:szCs w:val="20"/>
                <w:lang w:val="en-ZA"/>
              </w:rPr>
              <w:t>D</w:t>
            </w:r>
            <w:r w:rsidR="0047440E" w:rsidRPr="0047440E">
              <w:rPr>
                <w:rFonts w:ascii="Arial" w:hAnsi="Arial" w:cs="Arial"/>
                <w:iCs/>
                <w:sz w:val="20"/>
                <w:szCs w:val="20"/>
                <w:lang w:val="en-ZA"/>
              </w:rPr>
              <w:t>isclosure on the weighted voting share structure in terms of 2.76(b) – (f), if applicable; and</w:t>
            </w:r>
          </w:p>
        </w:tc>
      </w:tr>
      <w:tr w:rsidR="006A73CE" w:rsidRPr="004870BB" w:rsidDel="004E375D" w14:paraId="71EC378F" w14:textId="77777777" w:rsidTr="00C56709">
        <w:tc>
          <w:tcPr>
            <w:tcW w:w="524" w:type="dxa"/>
          </w:tcPr>
          <w:p w14:paraId="0F15C7FE" w14:textId="77777777" w:rsidR="006A73CE" w:rsidRPr="004870BB" w:rsidRDefault="006A73CE" w:rsidP="00872BB2">
            <w:pPr>
              <w:numPr>
                <w:ilvl w:val="0"/>
                <w:numId w:val="2"/>
              </w:numPr>
              <w:spacing w:line="276" w:lineRule="auto"/>
              <w:rPr>
                <w:rFonts w:ascii="Arial" w:hAnsi="Arial" w:cs="Arial"/>
                <w:iCs/>
                <w:sz w:val="20"/>
                <w:szCs w:val="20"/>
              </w:rPr>
            </w:pPr>
          </w:p>
        </w:tc>
        <w:tc>
          <w:tcPr>
            <w:tcW w:w="2170" w:type="dxa"/>
          </w:tcPr>
          <w:p w14:paraId="51A609A7" w14:textId="03F900A9" w:rsidR="006A73CE" w:rsidRDefault="001827BC" w:rsidP="00D14313">
            <w:pPr>
              <w:rPr>
                <w:rFonts w:ascii="Arial" w:hAnsi="Arial" w:cs="Arial"/>
                <w:iCs/>
                <w:sz w:val="20"/>
                <w:szCs w:val="20"/>
              </w:rPr>
            </w:pPr>
            <w:r>
              <w:rPr>
                <w:rFonts w:ascii="Arial" w:hAnsi="Arial" w:cs="Arial"/>
                <w:iCs/>
                <w:sz w:val="20"/>
                <w:szCs w:val="20"/>
              </w:rPr>
              <w:t>5.7(j)</w:t>
            </w:r>
          </w:p>
        </w:tc>
        <w:tc>
          <w:tcPr>
            <w:tcW w:w="3118" w:type="dxa"/>
          </w:tcPr>
          <w:p w14:paraId="69CD3637" w14:textId="77777777" w:rsidR="006A73CE" w:rsidRPr="004870BB" w:rsidDel="004E375D" w:rsidRDefault="006A73CE" w:rsidP="00D14313">
            <w:pPr>
              <w:rPr>
                <w:rFonts w:ascii="Arial" w:hAnsi="Arial" w:cs="Arial"/>
                <w:iCs/>
                <w:sz w:val="20"/>
                <w:szCs w:val="20"/>
              </w:rPr>
            </w:pPr>
          </w:p>
        </w:tc>
        <w:tc>
          <w:tcPr>
            <w:tcW w:w="8080" w:type="dxa"/>
          </w:tcPr>
          <w:p w14:paraId="00A5C110" w14:textId="3BD35CA5" w:rsidR="006A73CE" w:rsidRPr="00F80513" w:rsidRDefault="00093286" w:rsidP="00D14313">
            <w:pPr>
              <w:rPr>
                <w:rFonts w:ascii="Arial" w:hAnsi="Arial" w:cs="Arial"/>
                <w:iCs/>
                <w:sz w:val="20"/>
                <w:szCs w:val="20"/>
                <w:lang w:val="en-ZA"/>
              </w:rPr>
            </w:pPr>
            <w:r>
              <w:rPr>
                <w:rFonts w:ascii="Arial" w:hAnsi="Arial" w:cs="Arial"/>
                <w:iCs/>
                <w:sz w:val="20"/>
                <w:szCs w:val="20"/>
                <w:lang w:val="en-ZA"/>
              </w:rPr>
              <w:t>H</w:t>
            </w:r>
            <w:r w:rsidRPr="00093286">
              <w:rPr>
                <w:rFonts w:ascii="Arial" w:hAnsi="Arial" w:cs="Arial"/>
                <w:iCs/>
                <w:sz w:val="20"/>
                <w:szCs w:val="20"/>
                <w:lang w:val="en-ZA"/>
              </w:rPr>
              <w:t>ave a policy on the promotion of broader diversity at board level, dealing with the promotion of the diversity attributes of gender, race, culture, age, field of knowledge, skills and experience, which policy must be available on the issuer’s website. The policy may include voluntary diversity targets. A statement must be included in the annual report on how the board applied the policy of broader diversity in the nomination and appointment of directors. If applicable, the board must explain why any of the diversity indicators have not been applied and report progress on voluntary diversity targets contained in the policy</w:t>
            </w:r>
          </w:p>
        </w:tc>
      </w:tr>
      <w:tr w:rsidR="00763B2F" w:rsidRPr="004870BB" w:rsidDel="004E375D" w14:paraId="0EED8D7D" w14:textId="14217D2C" w:rsidTr="00C56709">
        <w:tc>
          <w:tcPr>
            <w:tcW w:w="524" w:type="dxa"/>
          </w:tcPr>
          <w:p w14:paraId="4F80635C" w14:textId="77777777" w:rsidR="008661C0" w:rsidRPr="004870BB" w:rsidRDefault="008661C0" w:rsidP="00872BB2">
            <w:pPr>
              <w:numPr>
                <w:ilvl w:val="0"/>
                <w:numId w:val="2"/>
              </w:numPr>
              <w:spacing w:line="276" w:lineRule="auto"/>
              <w:rPr>
                <w:rFonts w:ascii="Arial" w:hAnsi="Arial" w:cs="Arial"/>
                <w:iCs/>
                <w:sz w:val="20"/>
                <w:szCs w:val="20"/>
              </w:rPr>
            </w:pPr>
          </w:p>
        </w:tc>
        <w:tc>
          <w:tcPr>
            <w:tcW w:w="2170" w:type="dxa"/>
          </w:tcPr>
          <w:p w14:paraId="0B70A8A7" w14:textId="0E69AC29" w:rsidR="008661C0" w:rsidRPr="004870BB" w:rsidRDefault="00160D49" w:rsidP="00D14313">
            <w:pPr>
              <w:rPr>
                <w:rFonts w:ascii="Arial" w:hAnsi="Arial" w:cs="Arial"/>
                <w:iCs/>
                <w:sz w:val="20"/>
                <w:szCs w:val="20"/>
              </w:rPr>
            </w:pPr>
            <w:r>
              <w:rPr>
                <w:rFonts w:ascii="Arial" w:hAnsi="Arial" w:cs="Arial"/>
                <w:iCs/>
                <w:sz w:val="20"/>
                <w:szCs w:val="20"/>
              </w:rPr>
              <w:t>11.38(j)</w:t>
            </w:r>
          </w:p>
        </w:tc>
        <w:tc>
          <w:tcPr>
            <w:tcW w:w="3118" w:type="dxa"/>
          </w:tcPr>
          <w:p w14:paraId="7C02B52E" w14:textId="77777777" w:rsidR="008661C0" w:rsidRPr="004870BB" w:rsidDel="004E375D" w:rsidRDefault="008661C0" w:rsidP="00D14313">
            <w:pPr>
              <w:rPr>
                <w:rFonts w:ascii="Arial" w:hAnsi="Arial" w:cs="Arial"/>
                <w:iCs/>
                <w:sz w:val="20"/>
                <w:szCs w:val="20"/>
              </w:rPr>
            </w:pPr>
          </w:p>
        </w:tc>
        <w:tc>
          <w:tcPr>
            <w:tcW w:w="8080" w:type="dxa"/>
          </w:tcPr>
          <w:p w14:paraId="63CBC012" w14:textId="17C6200C" w:rsidR="008661C0" w:rsidRPr="00F80513" w:rsidDel="004E375D" w:rsidRDefault="00A0420B" w:rsidP="00D14313">
            <w:pPr>
              <w:rPr>
                <w:rFonts w:ascii="Arial" w:hAnsi="Arial" w:cs="Arial"/>
                <w:iCs/>
                <w:sz w:val="20"/>
                <w:szCs w:val="20"/>
              </w:rPr>
            </w:pPr>
            <w:r w:rsidRPr="00F80513">
              <w:rPr>
                <w:rFonts w:ascii="Arial" w:hAnsi="Arial" w:cs="Arial"/>
                <w:iCs/>
                <w:sz w:val="20"/>
                <w:szCs w:val="20"/>
                <w:lang w:val="en-ZA"/>
              </w:rPr>
              <w:t>T</w:t>
            </w:r>
            <w:r w:rsidR="0047440E" w:rsidRPr="00F80513">
              <w:rPr>
                <w:rFonts w:ascii="Arial" w:hAnsi="Arial" w:cs="Arial"/>
                <w:iCs/>
                <w:sz w:val="20"/>
                <w:szCs w:val="20"/>
                <w:lang w:val="en-ZA"/>
              </w:rPr>
              <w:t>he reason for the resignation/termination of auditor, if applicable.</w:t>
            </w:r>
          </w:p>
        </w:tc>
      </w:tr>
      <w:tr w:rsidR="00860DB7" w:rsidRPr="004870BB" w:rsidDel="004E375D" w14:paraId="0E8B97E9" w14:textId="77777777" w:rsidTr="00C56709">
        <w:tc>
          <w:tcPr>
            <w:tcW w:w="524" w:type="dxa"/>
          </w:tcPr>
          <w:p w14:paraId="71B99433" w14:textId="77777777" w:rsidR="00860DB7" w:rsidRPr="004870BB" w:rsidRDefault="00860DB7" w:rsidP="00D14313">
            <w:pPr>
              <w:numPr>
                <w:ilvl w:val="0"/>
                <w:numId w:val="2"/>
              </w:numPr>
              <w:rPr>
                <w:rFonts w:ascii="Arial" w:hAnsi="Arial" w:cs="Arial"/>
                <w:iCs/>
                <w:sz w:val="20"/>
                <w:szCs w:val="20"/>
              </w:rPr>
            </w:pPr>
          </w:p>
        </w:tc>
        <w:tc>
          <w:tcPr>
            <w:tcW w:w="2170" w:type="dxa"/>
          </w:tcPr>
          <w:p w14:paraId="77776761" w14:textId="75CDD4B9" w:rsidR="00860DB7" w:rsidRDefault="00860DB7" w:rsidP="00D14313">
            <w:pPr>
              <w:rPr>
                <w:rFonts w:ascii="Arial" w:hAnsi="Arial" w:cs="Arial"/>
                <w:iCs/>
                <w:sz w:val="20"/>
                <w:szCs w:val="20"/>
              </w:rPr>
            </w:pPr>
            <w:r w:rsidRPr="002A0715">
              <w:rPr>
                <w:rFonts w:ascii="Arial" w:hAnsi="Arial" w:cs="Arial"/>
                <w:sz w:val="20"/>
                <w:szCs w:val="20"/>
              </w:rPr>
              <w:t>1.13</w:t>
            </w:r>
          </w:p>
        </w:tc>
        <w:tc>
          <w:tcPr>
            <w:tcW w:w="3118" w:type="dxa"/>
            <w:vAlign w:val="bottom"/>
          </w:tcPr>
          <w:p w14:paraId="3AC5F8F0" w14:textId="77777777" w:rsidR="00860DB7" w:rsidRPr="004870BB" w:rsidDel="004E375D" w:rsidRDefault="00860DB7" w:rsidP="00D14313">
            <w:pPr>
              <w:rPr>
                <w:rFonts w:ascii="Arial" w:hAnsi="Arial" w:cs="Arial"/>
                <w:iCs/>
                <w:sz w:val="20"/>
                <w:szCs w:val="20"/>
              </w:rPr>
            </w:pPr>
          </w:p>
        </w:tc>
        <w:tc>
          <w:tcPr>
            <w:tcW w:w="8080" w:type="dxa"/>
          </w:tcPr>
          <w:p w14:paraId="7466AA60" w14:textId="66F18CFD" w:rsidR="00860DB7" w:rsidRPr="002A0715" w:rsidRDefault="00860DB7" w:rsidP="00D14313">
            <w:pPr>
              <w:jc w:val="both"/>
              <w:rPr>
                <w:rFonts w:ascii="Arial" w:hAnsi="Arial" w:cs="Arial"/>
                <w:bCs/>
                <w:sz w:val="20"/>
                <w:szCs w:val="20"/>
              </w:rPr>
            </w:pPr>
            <w:r w:rsidRPr="00CA39A8">
              <w:rPr>
                <w:rFonts w:ascii="Arial" w:hAnsi="Arial" w:cs="Arial"/>
                <w:bCs/>
                <w:sz w:val="20"/>
                <w:szCs w:val="20"/>
              </w:rPr>
              <w:t xml:space="preserve">Annual compliance </w:t>
            </w:r>
            <w:r w:rsidRPr="00240F4E">
              <w:rPr>
                <w:rFonts w:ascii="Arial" w:hAnsi="Arial" w:cs="Arial"/>
                <w:bCs/>
                <w:sz w:val="20"/>
                <w:szCs w:val="20"/>
              </w:rPr>
              <w:t xml:space="preserve">certificate - </w:t>
            </w:r>
            <w:r w:rsidRPr="00240F4E">
              <w:rPr>
                <w:rFonts w:ascii="Arial" w:hAnsi="Arial" w:cs="Arial"/>
                <w:sz w:val="20"/>
                <w:szCs w:val="20"/>
              </w:rPr>
              <w:t xml:space="preserve">Form </w:t>
            </w:r>
            <w:r w:rsidR="00B74CD8" w:rsidRPr="00240F4E">
              <w:rPr>
                <w:rFonts w:ascii="Arial" w:hAnsi="Arial" w:cs="Arial"/>
                <w:sz w:val="20"/>
                <w:szCs w:val="20"/>
              </w:rPr>
              <w:t>B</w:t>
            </w:r>
            <w:r w:rsidRPr="00240F4E">
              <w:rPr>
                <w:rFonts w:ascii="Arial" w:hAnsi="Arial" w:cs="Arial"/>
                <w:sz w:val="20"/>
                <w:szCs w:val="20"/>
              </w:rPr>
              <w:t xml:space="preserve">1 </w:t>
            </w:r>
          </w:p>
          <w:p w14:paraId="6A7E08E8" w14:textId="77777777" w:rsidR="00860DB7" w:rsidRDefault="00860DB7" w:rsidP="00D14313">
            <w:pPr>
              <w:rPr>
                <w:rFonts w:ascii="Arial" w:hAnsi="Arial" w:cs="Arial"/>
                <w:sz w:val="20"/>
                <w:szCs w:val="20"/>
              </w:rPr>
            </w:pPr>
            <w:r w:rsidRPr="00CA39A8">
              <w:rPr>
                <w:rFonts w:ascii="Arial" w:hAnsi="Arial" w:cs="Arial"/>
                <w:sz w:val="20"/>
                <w:szCs w:val="20"/>
              </w:rPr>
              <w:t>Please include details of matters of non-</w:t>
            </w:r>
            <w:proofErr w:type="gramStart"/>
            <w:r w:rsidRPr="00CA39A8">
              <w:rPr>
                <w:rFonts w:ascii="Arial" w:hAnsi="Arial" w:cs="Arial"/>
                <w:sz w:val="20"/>
                <w:szCs w:val="20"/>
              </w:rPr>
              <w:t>compliances</w:t>
            </w:r>
            <w:proofErr w:type="gramEnd"/>
            <w:r w:rsidRPr="00CA39A8">
              <w:rPr>
                <w:rFonts w:ascii="Arial" w:hAnsi="Arial" w:cs="Arial"/>
                <w:sz w:val="20"/>
                <w:szCs w:val="20"/>
              </w:rPr>
              <w:t xml:space="preserve"> during the review period.</w:t>
            </w:r>
          </w:p>
          <w:p w14:paraId="57EBDD09" w14:textId="21A317BE" w:rsidR="00D14313" w:rsidRPr="00F80513" w:rsidRDefault="00D14313" w:rsidP="00D14313">
            <w:pPr>
              <w:rPr>
                <w:rFonts w:ascii="Arial" w:hAnsi="Arial" w:cs="Arial"/>
                <w:iCs/>
                <w:sz w:val="20"/>
                <w:szCs w:val="20"/>
                <w:lang w:val="en-ZA"/>
              </w:rPr>
            </w:pPr>
          </w:p>
        </w:tc>
      </w:tr>
      <w:tr w:rsidR="00860DB7" w:rsidRPr="004870BB" w:rsidDel="004E375D" w14:paraId="1AEA8FB5" w14:textId="77777777" w:rsidTr="00C56709">
        <w:tc>
          <w:tcPr>
            <w:tcW w:w="524" w:type="dxa"/>
          </w:tcPr>
          <w:p w14:paraId="53620A4C" w14:textId="77777777" w:rsidR="00860DB7" w:rsidRPr="004870BB" w:rsidRDefault="00860DB7" w:rsidP="00D14313">
            <w:pPr>
              <w:numPr>
                <w:ilvl w:val="0"/>
                <w:numId w:val="2"/>
              </w:numPr>
              <w:rPr>
                <w:rFonts w:ascii="Arial" w:hAnsi="Arial" w:cs="Arial"/>
                <w:iCs/>
                <w:sz w:val="20"/>
                <w:szCs w:val="20"/>
              </w:rPr>
            </w:pPr>
          </w:p>
        </w:tc>
        <w:tc>
          <w:tcPr>
            <w:tcW w:w="2170" w:type="dxa"/>
          </w:tcPr>
          <w:p w14:paraId="7331F6AC" w14:textId="075A2BE1" w:rsidR="00860DB7" w:rsidRPr="00625D38" w:rsidRDefault="00625D38" w:rsidP="00D14313">
            <w:pPr>
              <w:jc w:val="both"/>
              <w:rPr>
                <w:rFonts w:ascii="Arial" w:hAnsi="Arial" w:cs="Arial"/>
                <w:bCs/>
                <w:color w:val="00B050"/>
                <w:sz w:val="20"/>
                <w:szCs w:val="20"/>
                <w:u w:val="single"/>
              </w:rPr>
            </w:pPr>
            <w:r w:rsidRPr="00625D38">
              <w:rPr>
                <w:rFonts w:ascii="Arial" w:hAnsi="Arial" w:cs="Arial"/>
                <w:bCs/>
                <w:sz w:val="20"/>
                <w:szCs w:val="20"/>
                <w:u w:val="single"/>
              </w:rPr>
              <w:t>REITs</w:t>
            </w:r>
            <w:r w:rsidR="00C31A15">
              <w:rPr>
                <w:rFonts w:ascii="Arial" w:hAnsi="Arial" w:cs="Arial"/>
                <w:bCs/>
                <w:sz w:val="20"/>
                <w:szCs w:val="20"/>
                <w:u w:val="single"/>
              </w:rPr>
              <w:t xml:space="preserve"> and CISIP</w:t>
            </w:r>
            <w:r w:rsidR="009E6D43">
              <w:rPr>
                <w:rFonts w:ascii="Arial" w:hAnsi="Arial" w:cs="Arial"/>
                <w:bCs/>
                <w:sz w:val="20"/>
                <w:szCs w:val="20"/>
                <w:u w:val="single"/>
              </w:rPr>
              <w:t>s</w:t>
            </w:r>
          </w:p>
        </w:tc>
        <w:tc>
          <w:tcPr>
            <w:tcW w:w="3118" w:type="dxa"/>
          </w:tcPr>
          <w:p w14:paraId="5ED1285B" w14:textId="77777777" w:rsidR="00860DB7" w:rsidRPr="00F80513" w:rsidDel="004E375D" w:rsidRDefault="00860DB7" w:rsidP="00D14313">
            <w:pPr>
              <w:rPr>
                <w:rFonts w:ascii="Arial" w:hAnsi="Arial" w:cs="Arial"/>
                <w:iCs/>
                <w:sz w:val="20"/>
                <w:szCs w:val="20"/>
              </w:rPr>
            </w:pPr>
          </w:p>
        </w:tc>
        <w:tc>
          <w:tcPr>
            <w:tcW w:w="8080" w:type="dxa"/>
            <w:vAlign w:val="bottom"/>
          </w:tcPr>
          <w:p w14:paraId="1AA8B18E" w14:textId="201C1295" w:rsidR="00860DB7" w:rsidRPr="00310F45" w:rsidRDefault="00B639A8" w:rsidP="00D14313">
            <w:pPr>
              <w:jc w:val="both"/>
              <w:rPr>
                <w:rFonts w:ascii="Arial" w:hAnsi="Arial" w:cs="Arial"/>
                <w:sz w:val="20"/>
                <w:szCs w:val="20"/>
              </w:rPr>
            </w:pPr>
            <w:r>
              <w:rPr>
                <w:rFonts w:ascii="Arial" w:hAnsi="Arial" w:cs="Arial"/>
                <w:sz w:val="20"/>
                <w:szCs w:val="20"/>
              </w:rPr>
              <w:t>A</w:t>
            </w:r>
            <w:r w:rsidR="00860DB7" w:rsidRPr="00310F45">
              <w:rPr>
                <w:rFonts w:ascii="Arial" w:hAnsi="Arial" w:cs="Arial"/>
                <w:sz w:val="20"/>
                <w:szCs w:val="20"/>
              </w:rPr>
              <w:t xml:space="preserve"> REIT Compliance declaration must be submitted pursuant to provision </w:t>
            </w:r>
            <w:r w:rsidR="00D05970">
              <w:rPr>
                <w:rFonts w:ascii="Arial" w:hAnsi="Arial" w:cs="Arial"/>
                <w:sz w:val="20"/>
                <w:szCs w:val="20"/>
              </w:rPr>
              <w:t>13.30</w:t>
            </w:r>
            <w:r w:rsidR="00860DB7" w:rsidRPr="00310F45">
              <w:rPr>
                <w:rFonts w:ascii="Arial" w:hAnsi="Arial" w:cs="Arial"/>
                <w:sz w:val="20"/>
                <w:szCs w:val="20"/>
              </w:rPr>
              <w:t xml:space="preserve"> within (four) months of financial year end; and</w:t>
            </w:r>
          </w:p>
          <w:p w14:paraId="19061F46" w14:textId="2A3469DA" w:rsidR="00860DB7" w:rsidRPr="00310F45" w:rsidDel="004E375D" w:rsidRDefault="00860DB7" w:rsidP="00D14313">
            <w:pPr>
              <w:rPr>
                <w:rFonts w:ascii="Arial" w:hAnsi="Arial" w:cs="Arial"/>
                <w:iCs/>
                <w:sz w:val="20"/>
                <w:szCs w:val="20"/>
              </w:rPr>
            </w:pPr>
            <w:r w:rsidRPr="00310F45">
              <w:rPr>
                <w:rFonts w:ascii="Arial" w:hAnsi="Arial" w:cs="Arial"/>
                <w:sz w:val="20"/>
                <w:szCs w:val="20"/>
              </w:rPr>
              <w:t>For CISIP’s a compliance declaration pursuant to paragraph 13.</w:t>
            </w:r>
            <w:r w:rsidR="004A3955">
              <w:rPr>
                <w:rFonts w:ascii="Arial" w:hAnsi="Arial" w:cs="Arial"/>
                <w:sz w:val="20"/>
                <w:szCs w:val="20"/>
              </w:rPr>
              <w:t>37</w:t>
            </w:r>
            <w:r w:rsidRPr="00310F45">
              <w:rPr>
                <w:rFonts w:ascii="Arial" w:hAnsi="Arial" w:cs="Arial"/>
                <w:sz w:val="20"/>
                <w:szCs w:val="20"/>
              </w:rPr>
              <w:t xml:space="preserve"> must be submitted within (four) months of the issuer’s financial year end.</w:t>
            </w:r>
          </w:p>
        </w:tc>
      </w:tr>
      <w:tr w:rsidR="00860DB7" w:rsidRPr="004870BB" w:rsidDel="004E375D" w14:paraId="0341AF27" w14:textId="329A8156" w:rsidTr="00C56709">
        <w:tc>
          <w:tcPr>
            <w:tcW w:w="524" w:type="dxa"/>
          </w:tcPr>
          <w:p w14:paraId="5BF87C6A" w14:textId="77777777" w:rsidR="00860DB7" w:rsidRPr="004870BB" w:rsidRDefault="00860DB7" w:rsidP="00D14313">
            <w:pPr>
              <w:numPr>
                <w:ilvl w:val="0"/>
                <w:numId w:val="2"/>
              </w:numPr>
              <w:rPr>
                <w:rFonts w:ascii="Arial" w:hAnsi="Arial" w:cs="Arial"/>
                <w:iCs/>
                <w:sz w:val="20"/>
                <w:szCs w:val="20"/>
              </w:rPr>
            </w:pPr>
          </w:p>
        </w:tc>
        <w:tc>
          <w:tcPr>
            <w:tcW w:w="2170" w:type="dxa"/>
          </w:tcPr>
          <w:p w14:paraId="599B0BB9" w14:textId="519030FF" w:rsidR="00480292" w:rsidRPr="00480292" w:rsidRDefault="00F74B06" w:rsidP="00D14313">
            <w:pPr>
              <w:jc w:val="both"/>
              <w:rPr>
                <w:rFonts w:ascii="Arial" w:hAnsi="Arial" w:cs="Arial"/>
                <w:sz w:val="20"/>
                <w:szCs w:val="20"/>
              </w:rPr>
            </w:pPr>
            <w:r>
              <w:rPr>
                <w:rFonts w:ascii="Arial" w:hAnsi="Arial" w:cs="Arial"/>
                <w:sz w:val="20"/>
                <w:szCs w:val="20"/>
              </w:rPr>
              <w:t>12.7(g)</w:t>
            </w:r>
          </w:p>
          <w:p w14:paraId="2C1D927F" w14:textId="4F3F358F" w:rsidR="00480292" w:rsidRPr="00480292" w:rsidRDefault="00480292" w:rsidP="00D14313">
            <w:pPr>
              <w:jc w:val="both"/>
              <w:rPr>
                <w:rFonts w:ascii="Arial" w:hAnsi="Arial" w:cs="Arial"/>
                <w:sz w:val="20"/>
                <w:szCs w:val="20"/>
              </w:rPr>
            </w:pPr>
            <w:r w:rsidRPr="00480292">
              <w:rPr>
                <w:rFonts w:ascii="Arial" w:hAnsi="Arial" w:cs="Arial"/>
                <w:sz w:val="20"/>
                <w:szCs w:val="20"/>
              </w:rPr>
              <w:t xml:space="preserve">Appendix 1 to section </w:t>
            </w:r>
            <w:r w:rsidR="000915DE">
              <w:rPr>
                <w:rFonts w:ascii="Arial" w:hAnsi="Arial" w:cs="Arial"/>
                <w:sz w:val="20"/>
                <w:szCs w:val="20"/>
              </w:rPr>
              <w:t>6</w:t>
            </w:r>
          </w:p>
          <w:p w14:paraId="66C9CF9D" w14:textId="1BECD459" w:rsidR="00480292" w:rsidRPr="00480292" w:rsidRDefault="00480292" w:rsidP="00D14313">
            <w:pPr>
              <w:rPr>
                <w:rFonts w:ascii="Arial" w:hAnsi="Arial" w:cs="Arial"/>
                <w:iCs/>
                <w:sz w:val="20"/>
                <w:szCs w:val="20"/>
              </w:rPr>
            </w:pPr>
          </w:p>
        </w:tc>
        <w:tc>
          <w:tcPr>
            <w:tcW w:w="3118" w:type="dxa"/>
          </w:tcPr>
          <w:p w14:paraId="672EA375" w14:textId="77777777" w:rsidR="00860DB7" w:rsidRPr="00480292" w:rsidDel="004E375D" w:rsidRDefault="00860DB7" w:rsidP="00D14313">
            <w:pPr>
              <w:rPr>
                <w:rFonts w:ascii="Arial" w:hAnsi="Arial" w:cs="Arial"/>
                <w:iCs/>
                <w:sz w:val="20"/>
                <w:szCs w:val="20"/>
              </w:rPr>
            </w:pPr>
          </w:p>
        </w:tc>
        <w:tc>
          <w:tcPr>
            <w:tcW w:w="8080" w:type="dxa"/>
            <w:vAlign w:val="bottom"/>
          </w:tcPr>
          <w:p w14:paraId="7627C64A" w14:textId="77777777" w:rsidR="00480292" w:rsidRPr="00480292" w:rsidRDefault="00480292" w:rsidP="00D14313">
            <w:pPr>
              <w:jc w:val="both"/>
              <w:rPr>
                <w:rFonts w:ascii="Arial" w:hAnsi="Arial" w:cs="Arial"/>
                <w:sz w:val="20"/>
                <w:szCs w:val="20"/>
              </w:rPr>
            </w:pPr>
            <w:r w:rsidRPr="00480292">
              <w:rPr>
                <w:rFonts w:ascii="Arial" w:hAnsi="Arial" w:cs="Arial"/>
                <w:sz w:val="20"/>
                <w:szCs w:val="20"/>
              </w:rPr>
              <w:t>Issuer’s must submit to the JSE, the annual compliance report prepared pursuant to section 13G (2) of the BEE Act, unless an exemption can be provided to the JSE.</w:t>
            </w:r>
          </w:p>
          <w:p w14:paraId="6EEF024F" w14:textId="77777777" w:rsidR="00480292" w:rsidRPr="00480292" w:rsidRDefault="00480292" w:rsidP="00D14313">
            <w:pPr>
              <w:rPr>
                <w:rFonts w:ascii="Arial" w:hAnsi="Arial" w:cs="Arial"/>
                <w:sz w:val="20"/>
                <w:szCs w:val="20"/>
              </w:rPr>
            </w:pPr>
            <w:r w:rsidRPr="00480292">
              <w:rPr>
                <w:rFonts w:ascii="Arial" w:hAnsi="Arial" w:cs="Arial"/>
                <w:sz w:val="20"/>
                <w:szCs w:val="20"/>
              </w:rPr>
              <w:t>Please ensure an announcement is published with the link to where the annual compliance report can be found on the issuer’s website.</w:t>
            </w:r>
          </w:p>
          <w:p w14:paraId="6C60833A" w14:textId="6EE39D99" w:rsidR="00860DB7" w:rsidRPr="00480292" w:rsidDel="004E375D" w:rsidRDefault="00860DB7" w:rsidP="00D14313">
            <w:pPr>
              <w:jc w:val="both"/>
              <w:rPr>
                <w:rFonts w:ascii="Arial" w:hAnsi="Arial" w:cs="Arial"/>
                <w:iCs/>
                <w:sz w:val="20"/>
                <w:szCs w:val="20"/>
              </w:rPr>
            </w:pPr>
          </w:p>
        </w:tc>
      </w:tr>
      <w:tr w:rsidR="00080311" w:rsidRPr="004870BB" w:rsidDel="004E375D" w14:paraId="50DBD434" w14:textId="3DE8F388" w:rsidTr="00C56709">
        <w:tc>
          <w:tcPr>
            <w:tcW w:w="524" w:type="dxa"/>
          </w:tcPr>
          <w:p w14:paraId="09E91103" w14:textId="77777777" w:rsidR="00080311" w:rsidRPr="004870BB" w:rsidRDefault="00080311" w:rsidP="00D14313">
            <w:pPr>
              <w:numPr>
                <w:ilvl w:val="0"/>
                <w:numId w:val="2"/>
              </w:numPr>
              <w:rPr>
                <w:rFonts w:ascii="Arial" w:hAnsi="Arial" w:cs="Arial"/>
                <w:iCs/>
                <w:sz w:val="20"/>
                <w:szCs w:val="20"/>
              </w:rPr>
            </w:pPr>
          </w:p>
        </w:tc>
        <w:tc>
          <w:tcPr>
            <w:tcW w:w="2170" w:type="dxa"/>
          </w:tcPr>
          <w:p w14:paraId="4D3E4927" w14:textId="7D52F6AF" w:rsidR="00080311" w:rsidRPr="00356B92" w:rsidRDefault="00080311" w:rsidP="00D14313">
            <w:pPr>
              <w:pStyle w:val="parafullout"/>
              <w:spacing w:before="0" w:after="0" w:line="240" w:lineRule="auto"/>
              <w:jc w:val="both"/>
              <w:rPr>
                <w:rFonts w:ascii="Arial" w:hAnsi="Arial" w:cs="Arial"/>
                <w:b/>
                <w:bCs/>
                <w:iCs/>
                <w:sz w:val="20"/>
              </w:rPr>
            </w:pPr>
          </w:p>
        </w:tc>
        <w:tc>
          <w:tcPr>
            <w:tcW w:w="3118" w:type="dxa"/>
          </w:tcPr>
          <w:p w14:paraId="69893C51" w14:textId="77777777" w:rsidR="00080311" w:rsidRPr="004870BB" w:rsidDel="004E375D" w:rsidRDefault="00080311" w:rsidP="00D14313">
            <w:pPr>
              <w:rPr>
                <w:rFonts w:ascii="Arial" w:hAnsi="Arial" w:cs="Arial"/>
                <w:iCs/>
                <w:sz w:val="20"/>
                <w:szCs w:val="20"/>
              </w:rPr>
            </w:pPr>
          </w:p>
        </w:tc>
        <w:tc>
          <w:tcPr>
            <w:tcW w:w="8080" w:type="dxa"/>
            <w:vAlign w:val="bottom"/>
          </w:tcPr>
          <w:p w14:paraId="1A8412F9" w14:textId="0DB45D97" w:rsidR="00080311" w:rsidRPr="00093286" w:rsidRDefault="00093286" w:rsidP="00D14313">
            <w:pPr>
              <w:pStyle w:val="parafullout"/>
              <w:spacing w:before="0" w:after="0" w:line="240" w:lineRule="auto"/>
              <w:jc w:val="both"/>
              <w:rPr>
                <w:rFonts w:ascii="Arial" w:hAnsi="Arial" w:cs="Arial"/>
                <w:bCs/>
                <w:color w:val="00B050"/>
                <w:sz w:val="20"/>
              </w:rPr>
            </w:pPr>
            <w:r>
              <w:rPr>
                <w:rFonts w:ascii="Arial" w:hAnsi="Arial" w:cs="Arial"/>
                <w:bCs/>
                <w:color w:val="00B050"/>
                <w:sz w:val="20"/>
              </w:rPr>
              <w:t>Note: T</w:t>
            </w:r>
            <w:r w:rsidR="00080311" w:rsidRPr="00093286">
              <w:rPr>
                <w:rFonts w:ascii="Arial" w:hAnsi="Arial" w:cs="Arial"/>
                <w:bCs/>
                <w:color w:val="00B050"/>
                <w:sz w:val="20"/>
              </w:rPr>
              <w:t xml:space="preserve">he Annual Financial Statement </w:t>
            </w:r>
            <w:r>
              <w:rPr>
                <w:rFonts w:ascii="Arial" w:hAnsi="Arial" w:cs="Arial"/>
                <w:bCs/>
                <w:color w:val="00B050"/>
                <w:sz w:val="20"/>
              </w:rPr>
              <w:t>q</w:t>
            </w:r>
            <w:r w:rsidR="00080311" w:rsidRPr="00093286">
              <w:rPr>
                <w:rFonts w:ascii="Arial" w:hAnsi="Arial" w:cs="Arial"/>
                <w:bCs/>
                <w:color w:val="00B050"/>
                <w:sz w:val="20"/>
              </w:rPr>
              <w:t xml:space="preserve">uestionnaire of the issuer </w:t>
            </w:r>
            <w:r>
              <w:rPr>
                <w:rFonts w:ascii="Arial" w:hAnsi="Arial" w:cs="Arial"/>
                <w:bCs/>
                <w:color w:val="00B050"/>
                <w:sz w:val="20"/>
              </w:rPr>
              <w:t>must be</w:t>
            </w:r>
            <w:r w:rsidR="00080311" w:rsidRPr="00093286">
              <w:rPr>
                <w:rFonts w:ascii="Arial" w:hAnsi="Arial" w:cs="Arial"/>
                <w:bCs/>
                <w:color w:val="00B050"/>
                <w:sz w:val="20"/>
              </w:rPr>
              <w:t xml:space="preserve"> submitted on WEBSTIR with the audited annual financial statement</w:t>
            </w:r>
            <w:r w:rsidR="00FF2D10">
              <w:rPr>
                <w:rFonts w:ascii="Arial" w:hAnsi="Arial" w:cs="Arial"/>
                <w:bCs/>
                <w:color w:val="00B050"/>
                <w:sz w:val="20"/>
              </w:rPr>
              <w:t>s</w:t>
            </w:r>
            <w:r w:rsidR="000C7B70">
              <w:rPr>
                <w:rFonts w:ascii="Arial" w:hAnsi="Arial" w:cs="Arial"/>
                <w:bCs/>
                <w:color w:val="00B050"/>
                <w:sz w:val="20"/>
              </w:rPr>
              <w:t xml:space="preserve">, if not already submitted previously. </w:t>
            </w:r>
          </w:p>
          <w:p w14:paraId="2CD36B65" w14:textId="1B84FBA0" w:rsidR="00080311" w:rsidRPr="00080311" w:rsidDel="004E375D" w:rsidRDefault="00080311" w:rsidP="00D14313">
            <w:pPr>
              <w:rPr>
                <w:rFonts w:ascii="Arial" w:hAnsi="Arial" w:cs="Arial"/>
                <w:iCs/>
                <w:sz w:val="20"/>
                <w:szCs w:val="20"/>
                <w:lang w:val="en-ZA"/>
              </w:rPr>
            </w:pPr>
          </w:p>
        </w:tc>
      </w:tr>
    </w:tbl>
    <w:p w14:paraId="03AA5DC1" w14:textId="77777777" w:rsidR="003C3D45" w:rsidRDefault="003C3D45" w:rsidP="00D14313">
      <w:pPr>
        <w:rPr>
          <w:rFonts w:ascii="Arial" w:hAnsi="Arial" w:cs="Arial"/>
          <w:b/>
          <w:bCs/>
        </w:rPr>
      </w:pPr>
    </w:p>
    <w:p w14:paraId="58A8687A" w14:textId="77777777" w:rsidR="00D14313" w:rsidRDefault="00D14313" w:rsidP="00D14313">
      <w:pPr>
        <w:jc w:val="center"/>
        <w:rPr>
          <w:rFonts w:ascii="Arial" w:hAnsi="Arial" w:cs="Arial"/>
          <w:b/>
          <w:bCs/>
          <w:sz w:val="20"/>
          <w:szCs w:val="20"/>
        </w:rPr>
      </w:pPr>
    </w:p>
    <w:p w14:paraId="1EC3294F" w14:textId="77777777" w:rsidR="00D14313" w:rsidRDefault="00D14313" w:rsidP="00D14313">
      <w:pPr>
        <w:jc w:val="center"/>
        <w:rPr>
          <w:rFonts w:ascii="Arial" w:hAnsi="Arial" w:cs="Arial"/>
          <w:b/>
          <w:bCs/>
          <w:sz w:val="20"/>
          <w:szCs w:val="20"/>
        </w:rPr>
      </w:pPr>
    </w:p>
    <w:p w14:paraId="6AD76186" w14:textId="4FBCF300" w:rsidR="0072562C" w:rsidRPr="00BA64B2" w:rsidRDefault="00262518" w:rsidP="00D14313">
      <w:pPr>
        <w:jc w:val="center"/>
        <w:rPr>
          <w:rFonts w:ascii="Arial" w:hAnsi="Arial" w:cs="Arial"/>
          <w:b/>
          <w:bCs/>
          <w:sz w:val="20"/>
          <w:szCs w:val="20"/>
        </w:rPr>
      </w:pPr>
      <w:r w:rsidRPr="00BA64B2">
        <w:rPr>
          <w:rFonts w:ascii="Arial" w:hAnsi="Arial" w:cs="Arial"/>
          <w:b/>
          <w:bCs/>
          <w:sz w:val="20"/>
          <w:szCs w:val="20"/>
        </w:rPr>
        <w:t>Secondary and dual listings</w:t>
      </w:r>
    </w:p>
    <w:p w14:paraId="7D476830" w14:textId="77777777" w:rsidR="00262518" w:rsidRDefault="00262518" w:rsidP="00D14313">
      <w:pPr>
        <w:jc w:val="center"/>
        <w:rPr>
          <w:rFonts w:ascii="Arial" w:hAnsi="Arial" w:cs="Arial"/>
          <w:b/>
          <w:bCs/>
          <w:sz w:val="20"/>
          <w:szCs w:val="20"/>
        </w:rPr>
      </w:pPr>
    </w:p>
    <w:tbl>
      <w:tblPr>
        <w:tblW w:w="5067" w:type="pct"/>
        <w:tblLook w:val="0000" w:firstRow="0" w:lastRow="0" w:firstColumn="0" w:lastColumn="0" w:noHBand="0" w:noVBand="0"/>
      </w:tblPr>
      <w:tblGrid>
        <w:gridCol w:w="2685"/>
        <w:gridCol w:w="3109"/>
        <w:gridCol w:w="7950"/>
      </w:tblGrid>
      <w:tr w:rsidR="00011A48" w:rsidRPr="001940B8" w14:paraId="7CF2BEE5"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tcPr>
          <w:p w14:paraId="1A43565A" w14:textId="3EF921DF"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LR R</w:t>
            </w:r>
            <w:r w:rsidR="007D1EDE" w:rsidRPr="001940B8">
              <w:rPr>
                <w:rFonts w:ascii="Arial" w:hAnsi="Arial" w:cs="Arial"/>
                <w:b/>
                <w:bCs/>
                <w:sz w:val="20"/>
                <w:szCs w:val="20"/>
              </w:rPr>
              <w:t>ef</w:t>
            </w:r>
          </w:p>
        </w:tc>
        <w:tc>
          <w:tcPr>
            <w:tcW w:w="1131" w:type="pct"/>
            <w:tcBorders>
              <w:top w:val="single" w:sz="4" w:space="0" w:color="auto"/>
              <w:left w:val="nil"/>
              <w:bottom w:val="single" w:sz="4" w:space="0" w:color="auto"/>
              <w:right w:val="single" w:sz="4" w:space="0" w:color="auto"/>
            </w:tcBorders>
            <w:shd w:val="clear" w:color="auto" w:fill="A6A6A6" w:themeFill="background1" w:themeFillShade="A6"/>
          </w:tcPr>
          <w:p w14:paraId="24547D9C" w14:textId="59262DEE"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Paragraph reference where this is addressed or reason why not addressed</w:t>
            </w:r>
          </w:p>
        </w:tc>
        <w:tc>
          <w:tcPr>
            <w:tcW w:w="2892" w:type="pct"/>
            <w:tcBorders>
              <w:top w:val="single" w:sz="4" w:space="0" w:color="auto"/>
              <w:left w:val="nil"/>
              <w:bottom w:val="single" w:sz="4" w:space="0" w:color="auto"/>
              <w:right w:val="single" w:sz="4" w:space="0" w:color="auto"/>
            </w:tcBorders>
            <w:shd w:val="clear" w:color="auto" w:fill="A6A6A6" w:themeFill="background1" w:themeFillShade="A6"/>
          </w:tcPr>
          <w:p w14:paraId="58638504" w14:textId="7262AF0B" w:rsidR="00DB4244" w:rsidRPr="001940B8" w:rsidRDefault="00DB4244" w:rsidP="00D14313">
            <w:pPr>
              <w:jc w:val="both"/>
              <w:rPr>
                <w:rFonts w:ascii="Arial" w:hAnsi="Arial" w:cs="Arial"/>
                <w:b/>
                <w:bCs/>
                <w:sz w:val="20"/>
                <w:szCs w:val="20"/>
              </w:rPr>
            </w:pPr>
            <w:r w:rsidRPr="001940B8">
              <w:rPr>
                <w:rFonts w:ascii="Arial" w:hAnsi="Arial" w:cs="Arial"/>
                <w:b/>
                <w:bCs/>
                <w:sz w:val="20"/>
                <w:szCs w:val="20"/>
              </w:rPr>
              <w:t xml:space="preserve">LR Extracts </w:t>
            </w:r>
          </w:p>
        </w:tc>
      </w:tr>
      <w:tr w:rsidR="00011A48" w:rsidRPr="001940B8" w14:paraId="47763E54"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72129194" w14:textId="77777777" w:rsidR="001453F5" w:rsidRPr="001940B8" w:rsidRDefault="001453F5" w:rsidP="00D14313">
            <w:pPr>
              <w:jc w:val="both"/>
              <w:rPr>
                <w:rFonts w:ascii="Arial" w:hAnsi="Arial" w:cs="Arial"/>
                <w:sz w:val="20"/>
                <w:szCs w:val="20"/>
              </w:rPr>
            </w:pPr>
            <w:r w:rsidRPr="001940B8">
              <w:rPr>
                <w:rFonts w:ascii="Arial" w:hAnsi="Arial" w:cs="Arial"/>
                <w:sz w:val="20"/>
                <w:szCs w:val="20"/>
              </w:rPr>
              <w:t>3.28(a)</w:t>
            </w:r>
          </w:p>
        </w:tc>
        <w:tc>
          <w:tcPr>
            <w:tcW w:w="1131" w:type="pct"/>
            <w:tcBorders>
              <w:top w:val="single" w:sz="4" w:space="0" w:color="auto"/>
              <w:left w:val="nil"/>
              <w:bottom w:val="single" w:sz="4" w:space="0" w:color="auto"/>
              <w:right w:val="single" w:sz="4" w:space="0" w:color="auto"/>
            </w:tcBorders>
            <w:vAlign w:val="bottom"/>
          </w:tcPr>
          <w:p w14:paraId="4D67C730" w14:textId="2C74E393" w:rsidR="001453F5" w:rsidRPr="001940B8" w:rsidRDefault="001453F5" w:rsidP="00D14313">
            <w:pPr>
              <w:jc w:val="both"/>
              <w:rPr>
                <w:rFonts w:ascii="Arial" w:hAnsi="Arial" w:cs="Arial"/>
                <w:sz w:val="20"/>
                <w:szCs w:val="20"/>
              </w:rPr>
            </w:pPr>
          </w:p>
        </w:tc>
        <w:tc>
          <w:tcPr>
            <w:tcW w:w="2892" w:type="pct"/>
            <w:tcBorders>
              <w:top w:val="single" w:sz="4" w:space="0" w:color="auto"/>
              <w:left w:val="nil"/>
              <w:bottom w:val="single" w:sz="4" w:space="0" w:color="auto"/>
              <w:right w:val="single" w:sz="4" w:space="0" w:color="auto"/>
            </w:tcBorders>
            <w:vAlign w:val="bottom"/>
          </w:tcPr>
          <w:p w14:paraId="2CA2E790" w14:textId="77777777" w:rsidR="001453F5" w:rsidRDefault="001453F5" w:rsidP="00D14313">
            <w:pPr>
              <w:jc w:val="both"/>
              <w:rPr>
                <w:rFonts w:ascii="Arial" w:hAnsi="Arial" w:cs="Arial"/>
                <w:sz w:val="20"/>
                <w:szCs w:val="20"/>
                <w:lang w:val="en-ZA"/>
              </w:rPr>
            </w:pPr>
            <w:r w:rsidRPr="001940B8">
              <w:rPr>
                <w:rFonts w:ascii="Arial" w:hAnsi="Arial" w:cs="Arial"/>
                <w:sz w:val="20"/>
                <w:szCs w:val="20"/>
                <w:lang w:val="en-ZA"/>
              </w:rPr>
              <w:t>The annual financial statements and any other communication with shareholders must identify the primary and secondary exchange venues</w:t>
            </w:r>
          </w:p>
          <w:p w14:paraId="21514FFC" w14:textId="724CC612" w:rsidR="003C3D45" w:rsidRPr="001940B8" w:rsidRDefault="003C3D45" w:rsidP="00D14313">
            <w:pPr>
              <w:jc w:val="both"/>
              <w:rPr>
                <w:rFonts w:ascii="Arial" w:hAnsi="Arial" w:cs="Arial"/>
                <w:b/>
                <w:bCs/>
                <w:sz w:val="20"/>
                <w:szCs w:val="20"/>
              </w:rPr>
            </w:pPr>
          </w:p>
        </w:tc>
      </w:tr>
      <w:tr w:rsidR="00011A48" w:rsidRPr="001940B8" w14:paraId="39D625D1"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06F2185C" w14:textId="5E25C7CA" w:rsidR="001453F5" w:rsidRPr="001940B8" w:rsidRDefault="001453F5" w:rsidP="00D14313">
            <w:pPr>
              <w:jc w:val="both"/>
              <w:rPr>
                <w:rFonts w:ascii="Arial" w:hAnsi="Arial" w:cs="Arial"/>
                <w:b/>
                <w:bCs/>
                <w:sz w:val="20"/>
                <w:szCs w:val="20"/>
              </w:rPr>
            </w:pPr>
            <w:r w:rsidRPr="001940B8">
              <w:rPr>
                <w:rFonts w:ascii="Arial" w:hAnsi="Arial" w:cs="Arial"/>
                <w:sz w:val="20"/>
                <w:szCs w:val="20"/>
              </w:rPr>
              <w:t>3.28(c)</w:t>
            </w:r>
          </w:p>
        </w:tc>
        <w:tc>
          <w:tcPr>
            <w:tcW w:w="1131" w:type="pct"/>
            <w:tcBorders>
              <w:top w:val="single" w:sz="4" w:space="0" w:color="auto"/>
              <w:left w:val="nil"/>
              <w:bottom w:val="single" w:sz="4" w:space="0" w:color="auto"/>
              <w:right w:val="single" w:sz="4" w:space="0" w:color="auto"/>
            </w:tcBorders>
            <w:vAlign w:val="bottom"/>
          </w:tcPr>
          <w:p w14:paraId="109D2C6F" w14:textId="3290EAB3" w:rsidR="001453F5" w:rsidRPr="001940B8" w:rsidRDefault="001453F5"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3ABD1177" w14:textId="77777777" w:rsidR="001453F5" w:rsidRDefault="00202049" w:rsidP="00D14313">
            <w:pPr>
              <w:jc w:val="both"/>
              <w:rPr>
                <w:rFonts w:ascii="Arial" w:hAnsi="Arial" w:cs="Arial"/>
                <w:sz w:val="20"/>
                <w:szCs w:val="20"/>
                <w:lang w:val="en-ZA"/>
              </w:rPr>
            </w:pPr>
            <w:r>
              <w:rPr>
                <w:rFonts w:ascii="Arial" w:hAnsi="Arial" w:cs="Arial"/>
                <w:sz w:val="20"/>
                <w:szCs w:val="20"/>
                <w:lang w:val="en-ZA"/>
              </w:rPr>
              <w:t>I</w:t>
            </w:r>
            <w:r w:rsidR="001453F5" w:rsidRPr="001940B8">
              <w:rPr>
                <w:rFonts w:ascii="Arial" w:hAnsi="Arial" w:cs="Arial"/>
                <w:sz w:val="20"/>
                <w:szCs w:val="20"/>
                <w:lang w:val="en-ZA"/>
              </w:rPr>
              <w:t>t must announce, in its interim and year-end results, headline earnings per share and diluted headline earnings per share together with an itemised reconciliation between headline earnings and the earnings used in the calculation</w:t>
            </w:r>
          </w:p>
          <w:p w14:paraId="78BE5BD6" w14:textId="3346D638" w:rsidR="003C3D45" w:rsidRPr="001940B8" w:rsidRDefault="003C3D45" w:rsidP="00D14313">
            <w:pPr>
              <w:jc w:val="both"/>
              <w:rPr>
                <w:rFonts w:ascii="Arial" w:hAnsi="Arial" w:cs="Arial"/>
                <w:b/>
                <w:bCs/>
                <w:sz w:val="20"/>
                <w:szCs w:val="20"/>
              </w:rPr>
            </w:pPr>
          </w:p>
        </w:tc>
      </w:tr>
      <w:tr w:rsidR="00011A48" w:rsidRPr="001940B8" w14:paraId="757D4140" w14:textId="77777777" w:rsidTr="00C56709">
        <w:trPr>
          <w:trHeight w:val="510"/>
        </w:trPr>
        <w:tc>
          <w:tcPr>
            <w:tcW w:w="977" w:type="pct"/>
            <w:tcBorders>
              <w:top w:val="single" w:sz="4" w:space="0" w:color="auto"/>
              <w:left w:val="single" w:sz="4" w:space="0" w:color="auto"/>
              <w:bottom w:val="single" w:sz="4" w:space="0" w:color="auto"/>
              <w:right w:val="single" w:sz="4" w:space="0" w:color="auto"/>
            </w:tcBorders>
          </w:tcPr>
          <w:p w14:paraId="67758D2D" w14:textId="2C99D417" w:rsidR="001453F5" w:rsidRPr="001940B8" w:rsidRDefault="001453F5" w:rsidP="00D14313">
            <w:pPr>
              <w:jc w:val="both"/>
              <w:rPr>
                <w:rFonts w:ascii="Arial" w:hAnsi="Arial" w:cs="Arial"/>
                <w:b/>
                <w:bCs/>
                <w:sz w:val="20"/>
                <w:szCs w:val="20"/>
              </w:rPr>
            </w:pPr>
            <w:r w:rsidRPr="001940B8">
              <w:rPr>
                <w:rFonts w:ascii="Arial" w:hAnsi="Arial" w:cs="Arial"/>
                <w:sz w:val="20"/>
                <w:szCs w:val="20"/>
              </w:rPr>
              <w:t>3.28(d)</w:t>
            </w:r>
          </w:p>
        </w:tc>
        <w:tc>
          <w:tcPr>
            <w:tcW w:w="1131" w:type="pct"/>
            <w:tcBorders>
              <w:top w:val="single" w:sz="4" w:space="0" w:color="auto"/>
              <w:left w:val="nil"/>
              <w:bottom w:val="single" w:sz="4" w:space="0" w:color="auto"/>
              <w:right w:val="single" w:sz="4" w:space="0" w:color="auto"/>
            </w:tcBorders>
            <w:vAlign w:val="bottom"/>
          </w:tcPr>
          <w:p w14:paraId="23B5F7C7" w14:textId="3130907A" w:rsidR="001453F5" w:rsidRPr="001940B8" w:rsidRDefault="001453F5"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630F5FA0" w14:textId="77777777" w:rsidR="001453F5" w:rsidRDefault="00202049" w:rsidP="00D14313">
            <w:pPr>
              <w:jc w:val="both"/>
              <w:rPr>
                <w:rFonts w:ascii="Arial" w:hAnsi="Arial" w:cs="Arial"/>
                <w:sz w:val="20"/>
                <w:szCs w:val="20"/>
                <w:lang w:val="en-ZA"/>
              </w:rPr>
            </w:pPr>
            <w:r>
              <w:rPr>
                <w:rFonts w:ascii="Arial" w:hAnsi="Arial" w:cs="Arial"/>
                <w:sz w:val="20"/>
                <w:szCs w:val="20"/>
                <w:lang w:val="en-ZA"/>
              </w:rPr>
              <w:t>I</w:t>
            </w:r>
            <w:r w:rsidR="001453F5" w:rsidRPr="001940B8">
              <w:rPr>
                <w:rFonts w:ascii="Arial" w:hAnsi="Arial" w:cs="Arial"/>
                <w:sz w:val="20"/>
                <w:szCs w:val="20"/>
                <w:lang w:val="en-ZA"/>
              </w:rPr>
              <w:t xml:space="preserve">nterim and year-end results must be prepared and announced in compliance with the acceptable accounting frameworks of the primary </w:t>
            </w:r>
            <w:proofErr w:type="gramStart"/>
            <w:r w:rsidR="001453F5" w:rsidRPr="001940B8">
              <w:rPr>
                <w:rFonts w:ascii="Arial" w:hAnsi="Arial" w:cs="Arial"/>
                <w:sz w:val="20"/>
                <w:szCs w:val="20"/>
                <w:lang w:val="en-ZA"/>
              </w:rPr>
              <w:t>exchange;</w:t>
            </w:r>
            <w:proofErr w:type="gramEnd"/>
          </w:p>
          <w:p w14:paraId="16EF4D82" w14:textId="3597B628" w:rsidR="003C3D45" w:rsidRPr="001940B8" w:rsidRDefault="003C3D45" w:rsidP="00D14313">
            <w:pPr>
              <w:jc w:val="both"/>
              <w:rPr>
                <w:rFonts w:ascii="Arial" w:hAnsi="Arial" w:cs="Arial"/>
                <w:b/>
                <w:bCs/>
                <w:sz w:val="20"/>
                <w:szCs w:val="20"/>
              </w:rPr>
            </w:pPr>
          </w:p>
        </w:tc>
      </w:tr>
      <w:tr w:rsidR="004510E4" w:rsidRPr="001940B8" w14:paraId="5772C3D6" w14:textId="77777777" w:rsidTr="00C56709">
        <w:trPr>
          <w:trHeight w:val="2268"/>
        </w:trPr>
        <w:tc>
          <w:tcPr>
            <w:tcW w:w="977" w:type="pct"/>
            <w:tcBorders>
              <w:top w:val="single" w:sz="4" w:space="0" w:color="auto"/>
              <w:left w:val="single" w:sz="4" w:space="0" w:color="auto"/>
              <w:bottom w:val="single" w:sz="4" w:space="0" w:color="auto"/>
              <w:right w:val="single" w:sz="4" w:space="0" w:color="auto"/>
            </w:tcBorders>
          </w:tcPr>
          <w:p w14:paraId="22A73A47" w14:textId="5DB94D19" w:rsidR="004510E4" w:rsidRDefault="004510E4" w:rsidP="00D14313">
            <w:pPr>
              <w:jc w:val="both"/>
              <w:rPr>
                <w:rFonts w:ascii="Arial" w:hAnsi="Arial" w:cs="Arial"/>
                <w:sz w:val="20"/>
                <w:szCs w:val="20"/>
              </w:rPr>
            </w:pPr>
            <w:r w:rsidRPr="001940B8">
              <w:rPr>
                <w:rFonts w:ascii="Arial" w:hAnsi="Arial" w:cs="Arial"/>
                <w:sz w:val="20"/>
                <w:szCs w:val="20"/>
              </w:rPr>
              <w:t>3.29(</w:t>
            </w:r>
            <w:r>
              <w:rPr>
                <w:rFonts w:ascii="Arial" w:hAnsi="Arial" w:cs="Arial"/>
                <w:sz w:val="20"/>
                <w:szCs w:val="20"/>
              </w:rPr>
              <w:t>a</w:t>
            </w:r>
            <w:r w:rsidRPr="001940B8">
              <w:rPr>
                <w:rFonts w:ascii="Arial" w:hAnsi="Arial" w:cs="Arial"/>
                <w:sz w:val="20"/>
                <w:szCs w:val="20"/>
              </w:rPr>
              <w:t>)</w:t>
            </w:r>
          </w:p>
          <w:p w14:paraId="3FBEA9A8" w14:textId="77777777" w:rsidR="004510E4" w:rsidRDefault="004510E4" w:rsidP="00D14313">
            <w:pPr>
              <w:jc w:val="both"/>
              <w:rPr>
                <w:rFonts w:ascii="Arial" w:hAnsi="Arial" w:cs="Arial"/>
                <w:sz w:val="20"/>
                <w:szCs w:val="20"/>
              </w:rPr>
            </w:pPr>
          </w:p>
          <w:p w14:paraId="06DFEB9E" w14:textId="77777777" w:rsidR="004510E4" w:rsidRDefault="004510E4" w:rsidP="00D14313">
            <w:pPr>
              <w:jc w:val="both"/>
              <w:rPr>
                <w:rFonts w:ascii="Arial" w:hAnsi="Arial" w:cs="Arial"/>
                <w:sz w:val="20"/>
                <w:szCs w:val="20"/>
              </w:rPr>
            </w:pPr>
          </w:p>
          <w:p w14:paraId="5F6B7641" w14:textId="77777777" w:rsidR="004510E4" w:rsidRDefault="004510E4" w:rsidP="00D14313">
            <w:pPr>
              <w:jc w:val="both"/>
              <w:rPr>
                <w:rFonts w:ascii="Arial" w:hAnsi="Arial" w:cs="Arial"/>
                <w:b/>
                <w:bCs/>
                <w:sz w:val="20"/>
                <w:szCs w:val="20"/>
              </w:rPr>
            </w:pPr>
          </w:p>
          <w:p w14:paraId="6D42E8E2" w14:textId="1604A0C8" w:rsidR="004510E4" w:rsidRPr="004510E4" w:rsidRDefault="004510E4" w:rsidP="00D14313">
            <w:pPr>
              <w:jc w:val="both"/>
              <w:rPr>
                <w:rFonts w:ascii="Arial" w:hAnsi="Arial" w:cs="Arial"/>
                <w:sz w:val="20"/>
                <w:szCs w:val="20"/>
              </w:rPr>
            </w:pPr>
            <w:r w:rsidRPr="004510E4">
              <w:rPr>
                <w:rFonts w:ascii="Arial" w:hAnsi="Arial" w:cs="Arial"/>
                <w:sz w:val="20"/>
                <w:szCs w:val="20"/>
              </w:rPr>
              <w:t>3.29(b)</w:t>
            </w:r>
          </w:p>
        </w:tc>
        <w:tc>
          <w:tcPr>
            <w:tcW w:w="1131" w:type="pct"/>
            <w:tcBorders>
              <w:top w:val="single" w:sz="4" w:space="0" w:color="auto"/>
              <w:left w:val="nil"/>
              <w:bottom w:val="single" w:sz="4" w:space="0" w:color="auto"/>
              <w:right w:val="single" w:sz="4" w:space="0" w:color="auto"/>
            </w:tcBorders>
            <w:vAlign w:val="bottom"/>
          </w:tcPr>
          <w:p w14:paraId="3AED20D6" w14:textId="77777777" w:rsidR="004510E4" w:rsidRPr="001940B8" w:rsidRDefault="004510E4"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vAlign w:val="bottom"/>
          </w:tcPr>
          <w:p w14:paraId="26FB57FA" w14:textId="032ACB18" w:rsidR="004510E4" w:rsidRDefault="004510E4" w:rsidP="00D14313">
            <w:pPr>
              <w:jc w:val="both"/>
              <w:rPr>
                <w:rFonts w:ascii="Arial" w:hAnsi="Arial" w:cs="Arial"/>
                <w:sz w:val="20"/>
                <w:szCs w:val="20"/>
                <w:lang w:val="en-ZA"/>
              </w:rPr>
            </w:pPr>
            <w:r>
              <w:rPr>
                <w:rFonts w:ascii="Arial" w:hAnsi="Arial" w:cs="Arial"/>
                <w:sz w:val="20"/>
                <w:szCs w:val="20"/>
                <w:lang w:val="en-ZA"/>
              </w:rPr>
              <w:t>T</w:t>
            </w:r>
            <w:r w:rsidRPr="001940B8">
              <w:rPr>
                <w:rFonts w:ascii="Arial" w:hAnsi="Arial" w:cs="Arial"/>
                <w:sz w:val="20"/>
                <w:szCs w:val="20"/>
                <w:lang w:val="en-ZA"/>
              </w:rPr>
              <w:t xml:space="preserve">he applicant issuer must submit details of the volume and value of securities </w:t>
            </w:r>
            <w:r w:rsidR="00196A60" w:rsidRPr="001940B8">
              <w:rPr>
                <w:rFonts w:ascii="Arial" w:hAnsi="Arial" w:cs="Arial"/>
                <w:sz w:val="20"/>
                <w:szCs w:val="20"/>
                <w:lang w:val="en-ZA"/>
              </w:rPr>
              <w:t>traded</w:t>
            </w:r>
            <w:r w:rsidR="00196A60">
              <w:rPr>
                <w:rFonts w:ascii="Arial" w:hAnsi="Arial" w:cs="Arial"/>
                <w:sz w:val="20"/>
                <w:szCs w:val="20"/>
                <w:lang w:val="en-ZA"/>
              </w:rPr>
              <w:t xml:space="preserve"> </w:t>
            </w:r>
            <w:r w:rsidR="00196A60" w:rsidRPr="001940B8">
              <w:rPr>
                <w:rFonts w:ascii="Arial" w:hAnsi="Arial" w:cs="Arial"/>
                <w:sz w:val="20"/>
                <w:szCs w:val="20"/>
                <w:lang w:val="en-ZA"/>
              </w:rPr>
              <w:t>(over the previous 24 months)</w:t>
            </w:r>
            <w:r w:rsidRPr="001940B8">
              <w:rPr>
                <w:rFonts w:ascii="Arial" w:hAnsi="Arial" w:cs="Arial"/>
                <w:sz w:val="20"/>
                <w:szCs w:val="20"/>
                <w:lang w:val="en-ZA"/>
              </w:rPr>
              <w:t xml:space="preserve"> on all exchanges where it has a listing, </w:t>
            </w:r>
            <w:proofErr w:type="gramStart"/>
            <w:r w:rsidRPr="001940B8">
              <w:rPr>
                <w:rFonts w:ascii="Arial" w:hAnsi="Arial" w:cs="Arial"/>
                <w:sz w:val="20"/>
                <w:szCs w:val="20"/>
                <w:lang w:val="en-ZA"/>
              </w:rPr>
              <w:t>in order for</w:t>
            </w:r>
            <w:proofErr w:type="gramEnd"/>
            <w:r w:rsidRPr="001940B8">
              <w:rPr>
                <w:rFonts w:ascii="Arial" w:hAnsi="Arial" w:cs="Arial"/>
                <w:sz w:val="20"/>
                <w:szCs w:val="20"/>
                <w:lang w:val="en-ZA"/>
              </w:rPr>
              <w:t xml:space="preserve"> the JSE to consider the applicant issuer’s continued secondary listing status. This information must be submitted to the JSE, together with the applicant issuer’s annual financial statements in terms of the Appendix 1 to Section 6 or by no later than four months from the financial year-end of the applicant issuer</w:t>
            </w:r>
            <w:r>
              <w:rPr>
                <w:rFonts w:ascii="Arial" w:hAnsi="Arial" w:cs="Arial"/>
                <w:sz w:val="20"/>
                <w:szCs w:val="20"/>
                <w:lang w:val="en-ZA"/>
              </w:rPr>
              <w:t>.</w:t>
            </w:r>
          </w:p>
          <w:p w14:paraId="42B4D0FB" w14:textId="77777777" w:rsidR="004510E4" w:rsidRPr="001940B8" w:rsidRDefault="004510E4" w:rsidP="00D14313">
            <w:pPr>
              <w:jc w:val="both"/>
              <w:rPr>
                <w:rFonts w:ascii="Arial" w:hAnsi="Arial" w:cs="Arial"/>
                <w:sz w:val="20"/>
                <w:szCs w:val="20"/>
              </w:rPr>
            </w:pPr>
          </w:p>
          <w:p w14:paraId="38C853F5" w14:textId="77777777" w:rsidR="004510E4" w:rsidRPr="003C3D45" w:rsidRDefault="004510E4" w:rsidP="00D14313">
            <w:pPr>
              <w:jc w:val="both"/>
              <w:rPr>
                <w:rFonts w:ascii="Arial" w:hAnsi="Arial" w:cs="Arial"/>
                <w:sz w:val="20"/>
                <w:szCs w:val="20"/>
              </w:rPr>
            </w:pPr>
            <w:r>
              <w:rPr>
                <w:rFonts w:ascii="Arial" w:hAnsi="Arial" w:cs="Arial"/>
                <w:sz w:val="20"/>
                <w:szCs w:val="20"/>
              </w:rPr>
              <w:t>I</w:t>
            </w:r>
            <w:r w:rsidRPr="00742DF2">
              <w:rPr>
                <w:rFonts w:ascii="Arial" w:hAnsi="Arial" w:cs="Arial"/>
                <w:sz w:val="20"/>
                <w:szCs w:val="20"/>
              </w:rPr>
              <w:t xml:space="preserve">f both the volume and value of securities traded on the JSE exceeded 50% of the total </w:t>
            </w:r>
            <w:r w:rsidRPr="003C3D45">
              <w:rPr>
                <w:rFonts w:ascii="Arial" w:hAnsi="Arial" w:cs="Arial"/>
                <w:sz w:val="20"/>
                <w:szCs w:val="20"/>
              </w:rPr>
              <w:t>volume and total value of those securities (over the previous 24 months) traded on all exchanges where the applicant issuer has a listing, then the applicant issuer's listing status on the JSE may be converted to a primary listing. The converse would apply when both the volume and value of securities traded on the JSE was 50% or below.</w:t>
            </w:r>
          </w:p>
          <w:p w14:paraId="10DE55BC" w14:textId="77777777" w:rsidR="001A0D7B" w:rsidRDefault="001A0D7B" w:rsidP="00D14313">
            <w:pPr>
              <w:jc w:val="both"/>
              <w:rPr>
                <w:rFonts w:ascii="Arial" w:hAnsi="Arial" w:cs="Arial"/>
                <w:sz w:val="20"/>
                <w:szCs w:val="20"/>
              </w:rPr>
            </w:pPr>
          </w:p>
          <w:p w14:paraId="50E60955" w14:textId="4D1113DD" w:rsidR="0000709C" w:rsidRPr="003C3D45" w:rsidRDefault="001A0D7B" w:rsidP="00D14313">
            <w:pPr>
              <w:pStyle w:val="parafullout"/>
              <w:spacing w:before="0" w:after="0" w:line="240" w:lineRule="auto"/>
              <w:jc w:val="both"/>
              <w:rPr>
                <w:rFonts w:ascii="Arial" w:hAnsi="Arial" w:cs="Arial"/>
                <w:sz w:val="20"/>
              </w:rPr>
            </w:pPr>
            <w:r w:rsidRPr="003C3D45">
              <w:rPr>
                <w:rFonts w:ascii="Arial" w:hAnsi="Arial" w:cs="Arial"/>
                <w:sz w:val="20"/>
              </w:rPr>
              <w:t>For illustrative purposes</w:t>
            </w:r>
            <w:r w:rsidR="00011A48" w:rsidRPr="003C3D45">
              <w:rPr>
                <w:rFonts w:ascii="Arial" w:hAnsi="Arial" w:cs="Arial"/>
                <w:sz w:val="20"/>
              </w:rPr>
              <w:t xml:space="preserve"> for 3.29: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48"/>
              <w:gridCol w:w="1393"/>
              <w:gridCol w:w="1578"/>
              <w:gridCol w:w="1436"/>
            </w:tblGrid>
            <w:tr w:rsidR="0000709C" w:rsidRPr="00B13C47" w14:paraId="3A6C7109" w14:textId="77777777" w:rsidTr="006C0872">
              <w:tc>
                <w:tcPr>
                  <w:tcW w:w="2532" w:type="dxa"/>
                </w:tcPr>
                <w:p w14:paraId="3F513D52"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volumes JSE</w:t>
                  </w:r>
                </w:p>
              </w:tc>
              <w:tc>
                <w:tcPr>
                  <w:tcW w:w="2376" w:type="dxa"/>
                </w:tcPr>
                <w:p w14:paraId="2AAA5A6B"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JSE volume as a percentage of (Total for JSE and Other exchanges)</w:t>
                  </w:r>
                </w:p>
              </w:tc>
              <w:tc>
                <w:tcPr>
                  <w:tcW w:w="1998" w:type="dxa"/>
                </w:tcPr>
                <w:p w14:paraId="645B765D"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value JSE</w:t>
                  </w:r>
                </w:p>
              </w:tc>
              <w:tc>
                <w:tcPr>
                  <w:tcW w:w="2458" w:type="dxa"/>
                </w:tcPr>
                <w:p w14:paraId="23D8B02B"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JSE value as a percentage of (Total for JSE and Other exchanges)</w:t>
                  </w:r>
                </w:p>
              </w:tc>
              <w:tc>
                <w:tcPr>
                  <w:tcW w:w="2210" w:type="dxa"/>
                </w:tcPr>
                <w:p w14:paraId="4AEB280E" w14:textId="77777777" w:rsidR="0000709C" w:rsidRPr="003C3D45" w:rsidRDefault="0000709C" w:rsidP="00D14313">
                  <w:pPr>
                    <w:pStyle w:val="parafullout"/>
                    <w:spacing w:before="0" w:after="0" w:line="240" w:lineRule="auto"/>
                    <w:jc w:val="both"/>
                    <w:rPr>
                      <w:rFonts w:ascii="Arial" w:hAnsi="Arial" w:cs="Arial"/>
                      <w:sz w:val="16"/>
                      <w:szCs w:val="16"/>
                    </w:rPr>
                  </w:pPr>
                </w:p>
              </w:tc>
            </w:tr>
            <w:tr w:rsidR="0000709C" w:rsidRPr="00B13C47" w14:paraId="4A05D534" w14:textId="77777777" w:rsidTr="006C0872">
              <w:tc>
                <w:tcPr>
                  <w:tcW w:w="2532" w:type="dxa"/>
                </w:tcPr>
                <w:p w14:paraId="6D3938D7"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volume (other exchanges)</w:t>
                  </w:r>
                </w:p>
              </w:tc>
              <w:tc>
                <w:tcPr>
                  <w:tcW w:w="2376" w:type="dxa"/>
                </w:tcPr>
                <w:p w14:paraId="47467063"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Other exchanges volume as a percentage of (Total for JSE and Other exchanges)</w:t>
                  </w:r>
                </w:p>
              </w:tc>
              <w:tc>
                <w:tcPr>
                  <w:tcW w:w="1998" w:type="dxa"/>
                </w:tcPr>
                <w:p w14:paraId="74526F89"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Total value* (other exchanges)</w:t>
                  </w:r>
                </w:p>
              </w:tc>
              <w:tc>
                <w:tcPr>
                  <w:tcW w:w="2458" w:type="dxa"/>
                </w:tcPr>
                <w:p w14:paraId="198DD85A"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Other exchanges value as a percentage of (Total for JSE and Other exchanges)</w:t>
                  </w:r>
                </w:p>
              </w:tc>
              <w:tc>
                <w:tcPr>
                  <w:tcW w:w="2210" w:type="dxa"/>
                </w:tcPr>
                <w:p w14:paraId="71B1B8A7" w14:textId="77777777" w:rsidR="0000709C" w:rsidRPr="003C3D45" w:rsidRDefault="0000709C" w:rsidP="00D14313">
                  <w:pPr>
                    <w:pStyle w:val="parafullout"/>
                    <w:spacing w:before="0" w:after="0" w:line="240" w:lineRule="auto"/>
                    <w:jc w:val="both"/>
                    <w:rPr>
                      <w:rFonts w:ascii="Arial" w:hAnsi="Arial" w:cs="Arial"/>
                      <w:sz w:val="16"/>
                      <w:szCs w:val="16"/>
                    </w:rPr>
                  </w:pPr>
                  <w:r w:rsidRPr="003C3D45">
                    <w:rPr>
                      <w:rFonts w:ascii="Arial" w:hAnsi="Arial" w:cs="Arial"/>
                      <w:sz w:val="16"/>
                      <w:szCs w:val="16"/>
                    </w:rPr>
                    <w:t>*</w:t>
                  </w:r>
                  <w:proofErr w:type="gramStart"/>
                  <w:r w:rsidRPr="003C3D45">
                    <w:rPr>
                      <w:rFonts w:ascii="Arial" w:hAnsi="Arial" w:cs="Arial"/>
                      <w:sz w:val="16"/>
                      <w:szCs w:val="16"/>
                    </w:rPr>
                    <w:t>value</w:t>
                  </w:r>
                  <w:proofErr w:type="gramEnd"/>
                  <w:r w:rsidRPr="003C3D45">
                    <w:rPr>
                      <w:rFonts w:ascii="Arial" w:hAnsi="Arial" w:cs="Arial"/>
                      <w:sz w:val="16"/>
                      <w:szCs w:val="16"/>
                    </w:rPr>
                    <w:t xml:space="preserve"> must be expressed in common currency (apply the applicable conversion currency rate)</w:t>
                  </w:r>
                </w:p>
              </w:tc>
            </w:tr>
            <w:tr w:rsidR="0000709C" w:rsidRPr="00B13C47" w14:paraId="34ADADE9" w14:textId="77777777" w:rsidTr="006C0872">
              <w:tc>
                <w:tcPr>
                  <w:tcW w:w="2532" w:type="dxa"/>
                </w:tcPr>
                <w:p w14:paraId="5CD11384"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volumes for JSE and Other exchanges</w:t>
                  </w:r>
                </w:p>
              </w:tc>
              <w:tc>
                <w:tcPr>
                  <w:tcW w:w="2376" w:type="dxa"/>
                </w:tcPr>
                <w:p w14:paraId="5BE690CF"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percentage volume for JSE and Other exchanges</w:t>
                  </w:r>
                </w:p>
              </w:tc>
              <w:tc>
                <w:tcPr>
                  <w:tcW w:w="1998" w:type="dxa"/>
                </w:tcPr>
                <w:p w14:paraId="374E3795"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value for JSE and Other exchanges</w:t>
                  </w:r>
                </w:p>
              </w:tc>
              <w:tc>
                <w:tcPr>
                  <w:tcW w:w="2458" w:type="dxa"/>
                </w:tcPr>
                <w:p w14:paraId="4EB71590" w14:textId="77777777" w:rsidR="0000709C" w:rsidRPr="003C3D45" w:rsidRDefault="0000709C" w:rsidP="00D14313">
                  <w:pPr>
                    <w:pStyle w:val="parafullout"/>
                    <w:spacing w:before="0" w:after="0" w:line="240" w:lineRule="auto"/>
                    <w:jc w:val="both"/>
                    <w:rPr>
                      <w:rFonts w:ascii="Arial" w:hAnsi="Arial" w:cs="Arial"/>
                      <w:b/>
                      <w:sz w:val="16"/>
                      <w:szCs w:val="16"/>
                    </w:rPr>
                  </w:pPr>
                  <w:r w:rsidRPr="003C3D45">
                    <w:rPr>
                      <w:rFonts w:ascii="Arial" w:hAnsi="Arial" w:cs="Arial"/>
                      <w:b/>
                      <w:sz w:val="16"/>
                      <w:szCs w:val="16"/>
                    </w:rPr>
                    <w:t>Total percentage value for JSE and Other exchanges</w:t>
                  </w:r>
                </w:p>
              </w:tc>
              <w:tc>
                <w:tcPr>
                  <w:tcW w:w="2210" w:type="dxa"/>
                </w:tcPr>
                <w:p w14:paraId="60C30542" w14:textId="77777777" w:rsidR="0000709C" w:rsidRPr="003C3D45" w:rsidRDefault="0000709C" w:rsidP="00D14313">
                  <w:pPr>
                    <w:pStyle w:val="parafullout"/>
                    <w:spacing w:before="0" w:after="0" w:line="240" w:lineRule="auto"/>
                    <w:jc w:val="both"/>
                    <w:rPr>
                      <w:rFonts w:ascii="Arial" w:hAnsi="Arial" w:cs="Arial"/>
                      <w:sz w:val="16"/>
                      <w:szCs w:val="16"/>
                    </w:rPr>
                  </w:pPr>
                </w:p>
              </w:tc>
            </w:tr>
          </w:tbl>
          <w:p w14:paraId="36117999" w14:textId="136AE73E" w:rsidR="001A0D7B" w:rsidRPr="001A0D7B" w:rsidRDefault="001A0D7B" w:rsidP="00D14313">
            <w:pPr>
              <w:jc w:val="both"/>
              <w:rPr>
                <w:rFonts w:ascii="Arial" w:hAnsi="Arial" w:cs="Arial"/>
                <w:sz w:val="20"/>
                <w:szCs w:val="20"/>
                <w:lang w:val="en-ZA"/>
              </w:rPr>
            </w:pPr>
          </w:p>
        </w:tc>
      </w:tr>
      <w:tr w:rsidR="00CE0ABA" w:rsidRPr="001940B8" w14:paraId="42771EED"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08CDFE4B" w14:textId="3F8C3645" w:rsidR="00CE0ABA" w:rsidRPr="001940B8" w:rsidRDefault="00A10716" w:rsidP="00D14313">
            <w:pPr>
              <w:jc w:val="both"/>
              <w:rPr>
                <w:rFonts w:ascii="Arial" w:hAnsi="Arial" w:cs="Arial"/>
                <w:sz w:val="20"/>
                <w:szCs w:val="20"/>
              </w:rPr>
            </w:pPr>
            <w:r>
              <w:rPr>
                <w:rFonts w:ascii="Arial" w:hAnsi="Arial" w:cs="Arial"/>
                <w:sz w:val="20"/>
                <w:szCs w:val="20"/>
              </w:rPr>
              <w:t>3.34</w:t>
            </w:r>
          </w:p>
        </w:tc>
        <w:tc>
          <w:tcPr>
            <w:tcW w:w="1131" w:type="pct"/>
            <w:tcBorders>
              <w:top w:val="single" w:sz="4" w:space="0" w:color="auto"/>
              <w:left w:val="nil"/>
              <w:bottom w:val="single" w:sz="4" w:space="0" w:color="auto"/>
              <w:right w:val="single" w:sz="4" w:space="0" w:color="auto"/>
            </w:tcBorders>
            <w:vAlign w:val="bottom"/>
          </w:tcPr>
          <w:p w14:paraId="61A13C57" w14:textId="77777777" w:rsidR="00CE0ABA" w:rsidRPr="001940B8" w:rsidRDefault="00CE0ABA"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tcPr>
          <w:p w14:paraId="29972DC5" w14:textId="77777777" w:rsidR="00CE0ABA" w:rsidRDefault="00CE0ABA" w:rsidP="00D14313">
            <w:pPr>
              <w:jc w:val="both"/>
              <w:rPr>
                <w:rFonts w:ascii="Arial" w:hAnsi="Arial" w:cs="Arial"/>
                <w:sz w:val="20"/>
                <w:szCs w:val="20"/>
                <w:lang w:val="en-ZA"/>
              </w:rPr>
            </w:pPr>
            <w:r w:rsidRPr="00CE0ABA">
              <w:rPr>
                <w:rFonts w:ascii="Arial" w:hAnsi="Arial" w:cs="Arial"/>
                <w:sz w:val="20"/>
                <w:szCs w:val="20"/>
                <w:lang w:val="en-ZA"/>
              </w:rPr>
              <w:t>Common accounting policies must be used for the companies comprising the DLC structure</w:t>
            </w:r>
          </w:p>
          <w:p w14:paraId="0194BF2F" w14:textId="0E29BCE0" w:rsidR="00201395" w:rsidRDefault="00201395" w:rsidP="00D14313">
            <w:pPr>
              <w:jc w:val="both"/>
              <w:rPr>
                <w:rFonts w:ascii="Arial" w:hAnsi="Arial" w:cs="Arial"/>
                <w:sz w:val="20"/>
                <w:szCs w:val="20"/>
                <w:lang w:val="en-ZA"/>
              </w:rPr>
            </w:pPr>
          </w:p>
        </w:tc>
      </w:tr>
      <w:tr w:rsidR="008726FD" w:rsidRPr="001940B8" w14:paraId="373073BE"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7E10D88C" w14:textId="3917E298" w:rsidR="008726FD" w:rsidRPr="002A0715" w:rsidRDefault="00A10716" w:rsidP="00D14313">
            <w:pPr>
              <w:jc w:val="both"/>
              <w:rPr>
                <w:rFonts w:ascii="Arial" w:hAnsi="Arial" w:cs="Arial"/>
                <w:sz w:val="20"/>
                <w:szCs w:val="20"/>
              </w:rPr>
            </w:pPr>
            <w:r w:rsidRPr="002A0715">
              <w:rPr>
                <w:rFonts w:ascii="Arial" w:hAnsi="Arial" w:cs="Arial"/>
                <w:sz w:val="20"/>
                <w:szCs w:val="20"/>
              </w:rPr>
              <w:t>3.35</w:t>
            </w:r>
          </w:p>
        </w:tc>
        <w:tc>
          <w:tcPr>
            <w:tcW w:w="1131" w:type="pct"/>
            <w:tcBorders>
              <w:top w:val="single" w:sz="4" w:space="0" w:color="auto"/>
              <w:left w:val="nil"/>
              <w:bottom w:val="single" w:sz="4" w:space="0" w:color="auto"/>
              <w:right w:val="single" w:sz="4" w:space="0" w:color="auto"/>
            </w:tcBorders>
            <w:vAlign w:val="bottom"/>
          </w:tcPr>
          <w:p w14:paraId="67506DF7" w14:textId="77777777" w:rsidR="008726FD" w:rsidRPr="001940B8" w:rsidRDefault="008726FD" w:rsidP="00D14313">
            <w:pPr>
              <w:jc w:val="both"/>
              <w:rPr>
                <w:rFonts w:ascii="Arial" w:hAnsi="Arial" w:cs="Arial"/>
                <w:color w:val="00B050"/>
                <w:sz w:val="20"/>
                <w:szCs w:val="20"/>
              </w:rPr>
            </w:pPr>
          </w:p>
        </w:tc>
        <w:tc>
          <w:tcPr>
            <w:tcW w:w="2892" w:type="pct"/>
            <w:tcBorders>
              <w:top w:val="single" w:sz="4" w:space="0" w:color="auto"/>
              <w:left w:val="nil"/>
              <w:bottom w:val="single" w:sz="4" w:space="0" w:color="auto"/>
              <w:right w:val="single" w:sz="4" w:space="0" w:color="auto"/>
            </w:tcBorders>
          </w:tcPr>
          <w:p w14:paraId="1A8C1633" w14:textId="77777777" w:rsidR="008726FD" w:rsidRDefault="007632CD" w:rsidP="00D14313">
            <w:pPr>
              <w:jc w:val="both"/>
              <w:rPr>
                <w:rFonts w:ascii="Arial" w:hAnsi="Arial" w:cs="Arial"/>
                <w:sz w:val="20"/>
                <w:szCs w:val="20"/>
                <w:lang w:val="en-ZA"/>
              </w:rPr>
            </w:pPr>
            <w:r w:rsidRPr="007632CD">
              <w:rPr>
                <w:rFonts w:ascii="Arial" w:hAnsi="Arial" w:cs="Arial"/>
                <w:sz w:val="20"/>
                <w:szCs w:val="20"/>
                <w:lang w:val="en-ZA"/>
              </w:rPr>
              <w:t>Annual financial statements must be announced for the merged DLC structure in accordance with IFRS or other accounting frameworks in terms of 3.16.</w:t>
            </w:r>
          </w:p>
          <w:p w14:paraId="1397875B" w14:textId="25B8C767" w:rsidR="00201395" w:rsidRPr="00CE0ABA" w:rsidRDefault="00201395" w:rsidP="00D14313">
            <w:pPr>
              <w:jc w:val="both"/>
              <w:rPr>
                <w:rFonts w:ascii="Arial" w:hAnsi="Arial" w:cs="Arial"/>
                <w:sz w:val="20"/>
                <w:szCs w:val="20"/>
                <w:lang w:val="en-ZA"/>
              </w:rPr>
            </w:pPr>
          </w:p>
        </w:tc>
      </w:tr>
      <w:tr w:rsidR="008B5317" w:rsidRPr="001940B8" w14:paraId="340B33AC" w14:textId="77777777" w:rsidTr="00C56709">
        <w:trPr>
          <w:trHeight w:val="567"/>
        </w:trPr>
        <w:tc>
          <w:tcPr>
            <w:tcW w:w="977" w:type="pct"/>
            <w:tcBorders>
              <w:top w:val="single" w:sz="4" w:space="0" w:color="auto"/>
              <w:left w:val="single" w:sz="4" w:space="0" w:color="auto"/>
              <w:bottom w:val="single" w:sz="4" w:space="0" w:color="auto"/>
              <w:right w:val="single" w:sz="4" w:space="0" w:color="auto"/>
            </w:tcBorders>
          </w:tcPr>
          <w:p w14:paraId="358502FD" w14:textId="3DC0CB62" w:rsidR="008B5317" w:rsidRPr="002A0715" w:rsidRDefault="002A0715" w:rsidP="00D14313">
            <w:pPr>
              <w:jc w:val="both"/>
              <w:rPr>
                <w:rFonts w:ascii="Arial" w:hAnsi="Arial" w:cs="Arial"/>
                <w:sz w:val="20"/>
                <w:szCs w:val="20"/>
              </w:rPr>
            </w:pPr>
            <w:r w:rsidRPr="002A0715">
              <w:rPr>
                <w:rFonts w:ascii="Arial" w:hAnsi="Arial" w:cs="Arial"/>
                <w:sz w:val="20"/>
                <w:szCs w:val="20"/>
              </w:rPr>
              <w:t>1.13</w:t>
            </w:r>
          </w:p>
        </w:tc>
        <w:tc>
          <w:tcPr>
            <w:tcW w:w="1131" w:type="pct"/>
            <w:tcBorders>
              <w:top w:val="single" w:sz="4" w:space="0" w:color="auto"/>
              <w:left w:val="nil"/>
              <w:bottom w:val="single" w:sz="4" w:space="0" w:color="auto"/>
              <w:right w:val="single" w:sz="4" w:space="0" w:color="auto"/>
            </w:tcBorders>
            <w:vAlign w:val="bottom"/>
          </w:tcPr>
          <w:p w14:paraId="4AD07FC6" w14:textId="77777777" w:rsidR="008B5317" w:rsidRPr="00CA39A8" w:rsidRDefault="008B5317" w:rsidP="00D14313">
            <w:pPr>
              <w:jc w:val="both"/>
              <w:rPr>
                <w:rFonts w:ascii="Arial" w:hAnsi="Arial" w:cs="Arial"/>
                <w:sz w:val="20"/>
                <w:szCs w:val="20"/>
              </w:rPr>
            </w:pPr>
          </w:p>
        </w:tc>
        <w:tc>
          <w:tcPr>
            <w:tcW w:w="2892" w:type="pct"/>
            <w:tcBorders>
              <w:top w:val="single" w:sz="4" w:space="0" w:color="auto"/>
              <w:left w:val="nil"/>
              <w:bottom w:val="single" w:sz="4" w:space="0" w:color="auto"/>
              <w:right w:val="single" w:sz="4" w:space="0" w:color="auto"/>
            </w:tcBorders>
          </w:tcPr>
          <w:p w14:paraId="65BC5A31" w14:textId="0EE82F34" w:rsidR="002067A8" w:rsidRPr="002A0715" w:rsidRDefault="00CA39A8" w:rsidP="00D14313">
            <w:pPr>
              <w:jc w:val="both"/>
              <w:rPr>
                <w:rFonts w:ascii="Arial" w:hAnsi="Arial" w:cs="Arial"/>
                <w:bCs/>
                <w:sz w:val="20"/>
                <w:szCs w:val="20"/>
              </w:rPr>
            </w:pPr>
            <w:r w:rsidRPr="00CA39A8">
              <w:rPr>
                <w:rFonts w:ascii="Arial" w:hAnsi="Arial" w:cs="Arial"/>
                <w:bCs/>
                <w:sz w:val="20"/>
                <w:szCs w:val="20"/>
              </w:rPr>
              <w:t xml:space="preserve">Annual </w:t>
            </w:r>
            <w:r w:rsidRPr="00201395">
              <w:rPr>
                <w:rFonts w:ascii="Arial" w:hAnsi="Arial" w:cs="Arial"/>
                <w:bCs/>
                <w:sz w:val="20"/>
                <w:szCs w:val="20"/>
              </w:rPr>
              <w:t xml:space="preserve">compliance certificate </w:t>
            </w:r>
            <w:r w:rsidR="002A0715" w:rsidRPr="00201395">
              <w:rPr>
                <w:rFonts w:ascii="Arial" w:hAnsi="Arial" w:cs="Arial"/>
                <w:bCs/>
                <w:sz w:val="20"/>
                <w:szCs w:val="20"/>
              </w:rPr>
              <w:t xml:space="preserve">- </w:t>
            </w:r>
            <w:r w:rsidR="002067A8" w:rsidRPr="00201395">
              <w:rPr>
                <w:rFonts w:ascii="Arial" w:hAnsi="Arial" w:cs="Arial"/>
                <w:sz w:val="20"/>
                <w:szCs w:val="20"/>
              </w:rPr>
              <w:t xml:space="preserve">Form </w:t>
            </w:r>
            <w:r w:rsidR="00201395" w:rsidRPr="00201395">
              <w:rPr>
                <w:rFonts w:ascii="Arial" w:hAnsi="Arial" w:cs="Arial"/>
                <w:sz w:val="20"/>
                <w:szCs w:val="20"/>
              </w:rPr>
              <w:t>B</w:t>
            </w:r>
            <w:r w:rsidR="002067A8" w:rsidRPr="00201395">
              <w:rPr>
                <w:rFonts w:ascii="Arial" w:hAnsi="Arial" w:cs="Arial"/>
                <w:sz w:val="20"/>
                <w:szCs w:val="20"/>
              </w:rPr>
              <w:t xml:space="preserve">1 </w:t>
            </w:r>
          </w:p>
          <w:p w14:paraId="27D2B279" w14:textId="77777777" w:rsidR="008B5317" w:rsidRDefault="2641C10A" w:rsidP="00D14313">
            <w:pPr>
              <w:jc w:val="both"/>
              <w:rPr>
                <w:rFonts w:ascii="Arial" w:hAnsi="Arial" w:cs="Arial"/>
                <w:sz w:val="20"/>
                <w:szCs w:val="20"/>
              </w:rPr>
            </w:pPr>
            <w:r w:rsidRPr="00CA39A8">
              <w:rPr>
                <w:rFonts w:ascii="Arial" w:hAnsi="Arial" w:cs="Arial"/>
                <w:sz w:val="20"/>
                <w:szCs w:val="20"/>
              </w:rPr>
              <w:t>Please include details of matters of non-compliances during the review period.</w:t>
            </w:r>
          </w:p>
          <w:p w14:paraId="3BC29CEE" w14:textId="5DFEC8F8" w:rsidR="00201395" w:rsidRPr="00CA39A8" w:rsidRDefault="00201395" w:rsidP="00D14313">
            <w:pPr>
              <w:jc w:val="both"/>
              <w:rPr>
                <w:rFonts w:ascii="Arial" w:hAnsi="Arial" w:cs="Arial"/>
                <w:sz w:val="20"/>
                <w:szCs w:val="20"/>
              </w:rPr>
            </w:pPr>
          </w:p>
        </w:tc>
      </w:tr>
    </w:tbl>
    <w:p w14:paraId="217ED879" w14:textId="77777777" w:rsidR="0072562C" w:rsidRPr="001940B8" w:rsidRDefault="0072562C" w:rsidP="00D14313">
      <w:pPr>
        <w:jc w:val="center"/>
        <w:rPr>
          <w:rFonts w:ascii="Arial" w:hAnsi="Arial" w:cs="Arial"/>
          <w:b/>
          <w:bCs/>
          <w:sz w:val="20"/>
          <w:szCs w:val="20"/>
        </w:rPr>
      </w:pPr>
    </w:p>
    <w:p w14:paraId="11DE72FB" w14:textId="7BB2A665" w:rsidR="002067A8" w:rsidRPr="00B13C47" w:rsidRDefault="002067A8" w:rsidP="00D14313">
      <w:pPr>
        <w:jc w:val="both"/>
        <w:rPr>
          <w:rFonts w:ascii="Verdana" w:hAnsi="Verdana"/>
          <w:b/>
          <w:sz w:val="18"/>
          <w:szCs w:val="18"/>
        </w:rPr>
      </w:pPr>
      <w:r w:rsidRPr="00953106">
        <w:rPr>
          <w:rFonts w:ascii="Verdana" w:hAnsi="Verdana"/>
          <w:b/>
          <w:sz w:val="18"/>
          <w:szCs w:val="18"/>
        </w:rPr>
        <w:t>Refer to Form</w:t>
      </w:r>
      <w:r w:rsidR="004251DC" w:rsidRPr="00953106">
        <w:rPr>
          <w:rFonts w:ascii="Verdana" w:hAnsi="Verdana"/>
          <w:b/>
          <w:sz w:val="18"/>
          <w:szCs w:val="18"/>
        </w:rPr>
        <w:t xml:space="preserve"> H3</w:t>
      </w:r>
      <w:r w:rsidRPr="00953106">
        <w:rPr>
          <w:rFonts w:ascii="Verdana" w:hAnsi="Verdana"/>
          <w:b/>
          <w:sz w:val="18"/>
          <w:szCs w:val="18"/>
        </w:rPr>
        <w:t xml:space="preserve"> for Accredited and Approved Exchanges (Main Board &amp; </w:t>
      </w:r>
      <w:proofErr w:type="spellStart"/>
      <w:r w:rsidRPr="00953106">
        <w:rPr>
          <w:rFonts w:ascii="Verdana" w:hAnsi="Verdana"/>
          <w:b/>
          <w:sz w:val="18"/>
          <w:szCs w:val="18"/>
        </w:rPr>
        <w:t>AltX</w:t>
      </w:r>
      <w:proofErr w:type="spellEnd"/>
      <w:r w:rsidRPr="00953106">
        <w:rPr>
          <w:rFonts w:ascii="Verdana" w:hAnsi="Verdana"/>
          <w:b/>
          <w:sz w:val="18"/>
          <w:szCs w:val="18"/>
        </w:rPr>
        <w:t>)</w:t>
      </w:r>
    </w:p>
    <w:p w14:paraId="60EB4DD4" w14:textId="44D2558A" w:rsidR="007E0E7E" w:rsidRPr="004870BB" w:rsidRDefault="00953106" w:rsidP="00D14313">
      <w:pPr>
        <w:pStyle w:val="parafullout"/>
        <w:spacing w:before="0" w:after="0" w:line="240" w:lineRule="auto"/>
        <w:jc w:val="both"/>
        <w:rPr>
          <w:rFonts w:ascii="Arial" w:hAnsi="Arial" w:cs="Arial"/>
          <w:b/>
          <w:bCs/>
          <w:sz w:val="20"/>
        </w:rPr>
      </w:pPr>
      <w:r w:rsidRPr="004870BB">
        <w:rPr>
          <w:rFonts w:ascii="Arial" w:hAnsi="Arial" w:cs="Arial"/>
          <w:b/>
          <w:bCs/>
          <w:sz w:val="20"/>
        </w:rPr>
        <w:t xml:space="preserve"> </w:t>
      </w:r>
    </w:p>
    <w:sectPr w:rsidR="007E0E7E" w:rsidRPr="004870BB" w:rsidSect="00636A93">
      <w:footerReference w:type="default" r:id="rId11"/>
      <w:pgSz w:w="15840" w:h="12240" w:orient="landscape"/>
      <w:pgMar w:top="1134"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17F7" w14:textId="77777777" w:rsidR="009B57DC" w:rsidRDefault="009B57DC">
      <w:r>
        <w:separator/>
      </w:r>
    </w:p>
  </w:endnote>
  <w:endnote w:type="continuationSeparator" w:id="0">
    <w:p w14:paraId="17ED3302" w14:textId="77777777" w:rsidR="009B57DC" w:rsidRDefault="009B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227" w14:textId="77777777" w:rsidR="00796433" w:rsidRDefault="00796433" w:rsidP="00830AD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67">
      <w:rPr>
        <w:rStyle w:val="PageNumber"/>
        <w:noProof/>
      </w:rPr>
      <w:t>1</w:t>
    </w:r>
    <w:r>
      <w:rPr>
        <w:rStyle w:val="PageNumber"/>
      </w:rPr>
      <w:fldChar w:fldCharType="end"/>
    </w:r>
  </w:p>
  <w:p w14:paraId="7896BCFA" w14:textId="77777777" w:rsidR="00796433" w:rsidRDefault="00796433" w:rsidP="00855C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5ACC5" w14:textId="77777777" w:rsidR="009B57DC" w:rsidRDefault="009B57DC">
      <w:r>
        <w:separator/>
      </w:r>
    </w:p>
  </w:footnote>
  <w:footnote w:type="continuationSeparator" w:id="0">
    <w:p w14:paraId="35D1B348" w14:textId="77777777" w:rsidR="009B57DC" w:rsidRDefault="009B5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27C1C"/>
    <w:multiLevelType w:val="hybridMultilevel"/>
    <w:tmpl w:val="F87660A0"/>
    <w:lvl w:ilvl="0" w:tplc="3640BF2E">
      <w:start w:val="1"/>
      <w:numFmt w:val="lowerRoman"/>
      <w:lvlText w:val="(%1)"/>
      <w:lvlJc w:val="left"/>
      <w:pPr>
        <w:ind w:left="767" w:hanging="81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 w15:restartNumberingAfterBreak="0">
    <w:nsid w:val="34F73378"/>
    <w:multiLevelType w:val="hybridMultilevel"/>
    <w:tmpl w:val="96FE23D4"/>
    <w:lvl w:ilvl="0" w:tplc="E2A0B8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EB68B3"/>
    <w:multiLevelType w:val="hybridMultilevel"/>
    <w:tmpl w:val="CDD629C2"/>
    <w:lvl w:ilvl="0" w:tplc="47E21920">
      <w:start w:val="1"/>
      <w:numFmt w:val="lowerLetter"/>
      <w:lvlText w:val="%1)"/>
      <w:lvlJc w:val="left"/>
      <w:pPr>
        <w:ind w:left="720" w:hanging="360"/>
      </w:pPr>
      <w:rPr>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64859"/>
    <w:multiLevelType w:val="hybridMultilevel"/>
    <w:tmpl w:val="740C72DA"/>
    <w:lvl w:ilvl="0" w:tplc="09AED4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0B19F2"/>
    <w:multiLevelType w:val="hybridMultilevel"/>
    <w:tmpl w:val="2654D1D8"/>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2B12A1"/>
    <w:multiLevelType w:val="hybridMultilevel"/>
    <w:tmpl w:val="D612FF8E"/>
    <w:lvl w:ilvl="0" w:tplc="5E182A22">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5DD73C81"/>
    <w:multiLevelType w:val="hybridMultilevel"/>
    <w:tmpl w:val="AA9EE27E"/>
    <w:lvl w:ilvl="0" w:tplc="E2A0B88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15666B6"/>
    <w:multiLevelType w:val="hybridMultilevel"/>
    <w:tmpl w:val="2B5A9A16"/>
    <w:lvl w:ilvl="0" w:tplc="A59258B0">
      <w:start w:val="1"/>
      <w:numFmt w:val="decimal"/>
      <w:lvlText w:val="%1)"/>
      <w:lvlJc w:val="left"/>
      <w:pPr>
        <w:tabs>
          <w:tab w:val="num" w:pos="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74FF3137"/>
    <w:multiLevelType w:val="hybridMultilevel"/>
    <w:tmpl w:val="AB128210"/>
    <w:lvl w:ilvl="0" w:tplc="DEF4D518">
      <w:start w:val="1"/>
      <w:numFmt w:val="lowerRoman"/>
      <w:lvlText w:val="(%1)"/>
      <w:lvlJc w:val="left"/>
      <w:pPr>
        <w:ind w:left="748" w:hanging="720"/>
      </w:pPr>
      <w:rPr>
        <w:rFonts w:hint="default"/>
      </w:rPr>
    </w:lvl>
    <w:lvl w:ilvl="1" w:tplc="1C090019" w:tentative="1">
      <w:start w:val="1"/>
      <w:numFmt w:val="lowerLetter"/>
      <w:lvlText w:val="%2."/>
      <w:lvlJc w:val="left"/>
      <w:pPr>
        <w:ind w:left="1108" w:hanging="360"/>
      </w:pPr>
    </w:lvl>
    <w:lvl w:ilvl="2" w:tplc="1C09001B" w:tentative="1">
      <w:start w:val="1"/>
      <w:numFmt w:val="lowerRoman"/>
      <w:lvlText w:val="%3."/>
      <w:lvlJc w:val="right"/>
      <w:pPr>
        <w:ind w:left="1828" w:hanging="180"/>
      </w:pPr>
    </w:lvl>
    <w:lvl w:ilvl="3" w:tplc="1C09000F" w:tentative="1">
      <w:start w:val="1"/>
      <w:numFmt w:val="decimal"/>
      <w:lvlText w:val="%4."/>
      <w:lvlJc w:val="left"/>
      <w:pPr>
        <w:ind w:left="2548" w:hanging="360"/>
      </w:pPr>
    </w:lvl>
    <w:lvl w:ilvl="4" w:tplc="1C090019" w:tentative="1">
      <w:start w:val="1"/>
      <w:numFmt w:val="lowerLetter"/>
      <w:lvlText w:val="%5."/>
      <w:lvlJc w:val="left"/>
      <w:pPr>
        <w:ind w:left="3268" w:hanging="360"/>
      </w:pPr>
    </w:lvl>
    <w:lvl w:ilvl="5" w:tplc="1C09001B" w:tentative="1">
      <w:start w:val="1"/>
      <w:numFmt w:val="lowerRoman"/>
      <w:lvlText w:val="%6."/>
      <w:lvlJc w:val="right"/>
      <w:pPr>
        <w:ind w:left="3988" w:hanging="180"/>
      </w:pPr>
    </w:lvl>
    <w:lvl w:ilvl="6" w:tplc="1C09000F" w:tentative="1">
      <w:start w:val="1"/>
      <w:numFmt w:val="decimal"/>
      <w:lvlText w:val="%7."/>
      <w:lvlJc w:val="left"/>
      <w:pPr>
        <w:ind w:left="4708" w:hanging="360"/>
      </w:pPr>
    </w:lvl>
    <w:lvl w:ilvl="7" w:tplc="1C090019" w:tentative="1">
      <w:start w:val="1"/>
      <w:numFmt w:val="lowerLetter"/>
      <w:lvlText w:val="%8."/>
      <w:lvlJc w:val="left"/>
      <w:pPr>
        <w:ind w:left="5428" w:hanging="360"/>
      </w:pPr>
    </w:lvl>
    <w:lvl w:ilvl="8" w:tplc="1C09001B" w:tentative="1">
      <w:start w:val="1"/>
      <w:numFmt w:val="lowerRoman"/>
      <w:lvlText w:val="%9."/>
      <w:lvlJc w:val="right"/>
      <w:pPr>
        <w:ind w:left="6148" w:hanging="180"/>
      </w:pPr>
    </w:lvl>
  </w:abstractNum>
  <w:abstractNum w:abstractNumId="9" w15:restartNumberingAfterBreak="0">
    <w:nsid w:val="7A322FFF"/>
    <w:multiLevelType w:val="hybridMultilevel"/>
    <w:tmpl w:val="0F520CEE"/>
    <w:lvl w:ilvl="0" w:tplc="3B64D99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328946">
    <w:abstractNumId w:val="7"/>
  </w:num>
  <w:num w:numId="2" w16cid:durableId="1263564486">
    <w:abstractNumId w:val="5"/>
  </w:num>
  <w:num w:numId="3" w16cid:durableId="1541017720">
    <w:abstractNumId w:val="9"/>
  </w:num>
  <w:num w:numId="4" w16cid:durableId="1810435236">
    <w:abstractNumId w:val="0"/>
  </w:num>
  <w:num w:numId="5" w16cid:durableId="1600916758">
    <w:abstractNumId w:val="2"/>
  </w:num>
  <w:num w:numId="6" w16cid:durableId="1717586443">
    <w:abstractNumId w:val="4"/>
  </w:num>
  <w:num w:numId="7" w16cid:durableId="840513573">
    <w:abstractNumId w:val="6"/>
  </w:num>
  <w:num w:numId="8" w16cid:durableId="1016466703">
    <w:abstractNumId w:val="1"/>
  </w:num>
  <w:num w:numId="9" w16cid:durableId="75833422">
    <w:abstractNumId w:val="3"/>
  </w:num>
  <w:num w:numId="10" w16cid:durableId="751854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30"/>
    <w:rsid w:val="00002FD9"/>
    <w:rsid w:val="0000709C"/>
    <w:rsid w:val="00011A48"/>
    <w:rsid w:val="000368F0"/>
    <w:rsid w:val="000419D8"/>
    <w:rsid w:val="00042469"/>
    <w:rsid w:val="000539F0"/>
    <w:rsid w:val="000715E7"/>
    <w:rsid w:val="00074C4C"/>
    <w:rsid w:val="00080311"/>
    <w:rsid w:val="00084818"/>
    <w:rsid w:val="00086498"/>
    <w:rsid w:val="000915DE"/>
    <w:rsid w:val="00093285"/>
    <w:rsid w:val="00093286"/>
    <w:rsid w:val="000A5A76"/>
    <w:rsid w:val="000A6251"/>
    <w:rsid w:val="000B4F3E"/>
    <w:rsid w:val="000B6635"/>
    <w:rsid w:val="000C3536"/>
    <w:rsid w:val="000C53D6"/>
    <w:rsid w:val="000C7B70"/>
    <w:rsid w:val="000E2736"/>
    <w:rsid w:val="000E48BD"/>
    <w:rsid w:val="000F5EF6"/>
    <w:rsid w:val="00135937"/>
    <w:rsid w:val="00135E37"/>
    <w:rsid w:val="00142EDA"/>
    <w:rsid w:val="001453F5"/>
    <w:rsid w:val="00160D49"/>
    <w:rsid w:val="00161018"/>
    <w:rsid w:val="00177D90"/>
    <w:rsid w:val="001827BC"/>
    <w:rsid w:val="00186D25"/>
    <w:rsid w:val="0018780A"/>
    <w:rsid w:val="00192600"/>
    <w:rsid w:val="00193DB1"/>
    <w:rsid w:val="001940B8"/>
    <w:rsid w:val="00196A60"/>
    <w:rsid w:val="001A0D7B"/>
    <w:rsid w:val="001A409E"/>
    <w:rsid w:val="001A47E3"/>
    <w:rsid w:val="001B64BB"/>
    <w:rsid w:val="001D5191"/>
    <w:rsid w:val="001E14C1"/>
    <w:rsid w:val="001F6E92"/>
    <w:rsid w:val="00201395"/>
    <w:rsid w:val="0020200C"/>
    <w:rsid w:val="00202049"/>
    <w:rsid w:val="002067A8"/>
    <w:rsid w:val="00213407"/>
    <w:rsid w:val="002237AC"/>
    <w:rsid w:val="0022639A"/>
    <w:rsid w:val="00234FC8"/>
    <w:rsid w:val="0024004A"/>
    <w:rsid w:val="00240F4E"/>
    <w:rsid w:val="00262518"/>
    <w:rsid w:val="00266C21"/>
    <w:rsid w:val="00283072"/>
    <w:rsid w:val="002A0715"/>
    <w:rsid w:val="002A4278"/>
    <w:rsid w:val="002B1DCA"/>
    <w:rsid w:val="002D1AC3"/>
    <w:rsid w:val="002F3A30"/>
    <w:rsid w:val="00310F45"/>
    <w:rsid w:val="00323425"/>
    <w:rsid w:val="00323EBA"/>
    <w:rsid w:val="00331297"/>
    <w:rsid w:val="00335316"/>
    <w:rsid w:val="003378BC"/>
    <w:rsid w:val="00351BFF"/>
    <w:rsid w:val="00353D20"/>
    <w:rsid w:val="00354C74"/>
    <w:rsid w:val="00356B92"/>
    <w:rsid w:val="00366479"/>
    <w:rsid w:val="00371847"/>
    <w:rsid w:val="00382AE8"/>
    <w:rsid w:val="0038772B"/>
    <w:rsid w:val="00390203"/>
    <w:rsid w:val="003C3D45"/>
    <w:rsid w:val="003D2AA3"/>
    <w:rsid w:val="003D40EE"/>
    <w:rsid w:val="003D6C6C"/>
    <w:rsid w:val="003F1157"/>
    <w:rsid w:val="003F1EE0"/>
    <w:rsid w:val="003F68BB"/>
    <w:rsid w:val="004050B3"/>
    <w:rsid w:val="004251DC"/>
    <w:rsid w:val="00434F9F"/>
    <w:rsid w:val="00441C65"/>
    <w:rsid w:val="004510E4"/>
    <w:rsid w:val="00452126"/>
    <w:rsid w:val="00453A18"/>
    <w:rsid w:val="00454F92"/>
    <w:rsid w:val="0045651F"/>
    <w:rsid w:val="004572ED"/>
    <w:rsid w:val="00460F21"/>
    <w:rsid w:val="0046141F"/>
    <w:rsid w:val="00466003"/>
    <w:rsid w:val="0047440E"/>
    <w:rsid w:val="00480292"/>
    <w:rsid w:val="004870BB"/>
    <w:rsid w:val="004A3955"/>
    <w:rsid w:val="004A3FF0"/>
    <w:rsid w:val="004B1E8A"/>
    <w:rsid w:val="004D0291"/>
    <w:rsid w:val="004D34FE"/>
    <w:rsid w:val="004D45B1"/>
    <w:rsid w:val="00500951"/>
    <w:rsid w:val="00516B05"/>
    <w:rsid w:val="00536D67"/>
    <w:rsid w:val="005571E0"/>
    <w:rsid w:val="005807EF"/>
    <w:rsid w:val="005826FE"/>
    <w:rsid w:val="005915A6"/>
    <w:rsid w:val="005A0BD3"/>
    <w:rsid w:val="005B46EB"/>
    <w:rsid w:val="005B7031"/>
    <w:rsid w:val="005C2037"/>
    <w:rsid w:val="005C3EE5"/>
    <w:rsid w:val="005C754E"/>
    <w:rsid w:val="005D6218"/>
    <w:rsid w:val="005E6DB5"/>
    <w:rsid w:val="005F10E0"/>
    <w:rsid w:val="00625D38"/>
    <w:rsid w:val="00636A93"/>
    <w:rsid w:val="00636EF8"/>
    <w:rsid w:val="00645374"/>
    <w:rsid w:val="006600D4"/>
    <w:rsid w:val="00666701"/>
    <w:rsid w:val="0068201B"/>
    <w:rsid w:val="006A73CE"/>
    <w:rsid w:val="006B5467"/>
    <w:rsid w:val="006E4CD1"/>
    <w:rsid w:val="007121F6"/>
    <w:rsid w:val="00721BBA"/>
    <w:rsid w:val="00723B86"/>
    <w:rsid w:val="0072562C"/>
    <w:rsid w:val="007324E2"/>
    <w:rsid w:val="0073438C"/>
    <w:rsid w:val="00742DF2"/>
    <w:rsid w:val="00744E8F"/>
    <w:rsid w:val="00753047"/>
    <w:rsid w:val="007632CD"/>
    <w:rsid w:val="00763B2F"/>
    <w:rsid w:val="00763DAB"/>
    <w:rsid w:val="00775FCC"/>
    <w:rsid w:val="007769B8"/>
    <w:rsid w:val="0078222F"/>
    <w:rsid w:val="0079061B"/>
    <w:rsid w:val="00791B7E"/>
    <w:rsid w:val="00792C64"/>
    <w:rsid w:val="00796433"/>
    <w:rsid w:val="007A01AD"/>
    <w:rsid w:val="007A35E3"/>
    <w:rsid w:val="007A5EAE"/>
    <w:rsid w:val="007B115D"/>
    <w:rsid w:val="007B66A7"/>
    <w:rsid w:val="007D1EDE"/>
    <w:rsid w:val="007E0E7E"/>
    <w:rsid w:val="00806F7D"/>
    <w:rsid w:val="00826659"/>
    <w:rsid w:val="00830642"/>
    <w:rsid w:val="00830AD3"/>
    <w:rsid w:val="00855C5D"/>
    <w:rsid w:val="00860DB7"/>
    <w:rsid w:val="008661C0"/>
    <w:rsid w:val="008726FD"/>
    <w:rsid w:val="00872BB2"/>
    <w:rsid w:val="008962BA"/>
    <w:rsid w:val="00896C56"/>
    <w:rsid w:val="008A7390"/>
    <w:rsid w:val="008B3117"/>
    <w:rsid w:val="008B5317"/>
    <w:rsid w:val="008C5820"/>
    <w:rsid w:val="008C7895"/>
    <w:rsid w:val="008D6363"/>
    <w:rsid w:val="00902833"/>
    <w:rsid w:val="00917920"/>
    <w:rsid w:val="0093660E"/>
    <w:rsid w:val="00937AAC"/>
    <w:rsid w:val="00951081"/>
    <w:rsid w:val="00953106"/>
    <w:rsid w:val="00953683"/>
    <w:rsid w:val="009661F7"/>
    <w:rsid w:val="00971C8F"/>
    <w:rsid w:val="00974BB9"/>
    <w:rsid w:val="009768AA"/>
    <w:rsid w:val="009949D6"/>
    <w:rsid w:val="009A1BC3"/>
    <w:rsid w:val="009B4205"/>
    <w:rsid w:val="009B57DC"/>
    <w:rsid w:val="009D56E3"/>
    <w:rsid w:val="009D6853"/>
    <w:rsid w:val="009E6D43"/>
    <w:rsid w:val="009F1260"/>
    <w:rsid w:val="009F73EF"/>
    <w:rsid w:val="00A0420B"/>
    <w:rsid w:val="00A10716"/>
    <w:rsid w:val="00A10AAF"/>
    <w:rsid w:val="00A10D59"/>
    <w:rsid w:val="00A33F89"/>
    <w:rsid w:val="00A37C85"/>
    <w:rsid w:val="00A4313A"/>
    <w:rsid w:val="00A602D5"/>
    <w:rsid w:val="00A74088"/>
    <w:rsid w:val="00A87ED2"/>
    <w:rsid w:val="00A973BD"/>
    <w:rsid w:val="00A97830"/>
    <w:rsid w:val="00AB43B4"/>
    <w:rsid w:val="00AB7234"/>
    <w:rsid w:val="00AC2F56"/>
    <w:rsid w:val="00AE04CF"/>
    <w:rsid w:val="00AE219B"/>
    <w:rsid w:val="00AF407F"/>
    <w:rsid w:val="00B06BE6"/>
    <w:rsid w:val="00B241A4"/>
    <w:rsid w:val="00B32A4C"/>
    <w:rsid w:val="00B407B9"/>
    <w:rsid w:val="00B47E6F"/>
    <w:rsid w:val="00B561B3"/>
    <w:rsid w:val="00B62313"/>
    <w:rsid w:val="00B639A8"/>
    <w:rsid w:val="00B74CD8"/>
    <w:rsid w:val="00B8044D"/>
    <w:rsid w:val="00B90E92"/>
    <w:rsid w:val="00B9470A"/>
    <w:rsid w:val="00BA35F1"/>
    <w:rsid w:val="00BA64B2"/>
    <w:rsid w:val="00BB1850"/>
    <w:rsid w:val="00BC0DF1"/>
    <w:rsid w:val="00BC666A"/>
    <w:rsid w:val="00BD538D"/>
    <w:rsid w:val="00BE0769"/>
    <w:rsid w:val="00BE2FD9"/>
    <w:rsid w:val="00BE3C31"/>
    <w:rsid w:val="00BE4AE5"/>
    <w:rsid w:val="00BE5971"/>
    <w:rsid w:val="00BF101C"/>
    <w:rsid w:val="00C101EF"/>
    <w:rsid w:val="00C216F3"/>
    <w:rsid w:val="00C23DEB"/>
    <w:rsid w:val="00C26695"/>
    <w:rsid w:val="00C31A15"/>
    <w:rsid w:val="00C3397E"/>
    <w:rsid w:val="00C37601"/>
    <w:rsid w:val="00C56709"/>
    <w:rsid w:val="00C61FE6"/>
    <w:rsid w:val="00C64914"/>
    <w:rsid w:val="00C70DD5"/>
    <w:rsid w:val="00C85988"/>
    <w:rsid w:val="00C903D3"/>
    <w:rsid w:val="00C95264"/>
    <w:rsid w:val="00C95AF9"/>
    <w:rsid w:val="00CA1C55"/>
    <w:rsid w:val="00CA39A8"/>
    <w:rsid w:val="00CA6DB9"/>
    <w:rsid w:val="00CC4617"/>
    <w:rsid w:val="00CE0ABA"/>
    <w:rsid w:val="00CF00C4"/>
    <w:rsid w:val="00D02B6F"/>
    <w:rsid w:val="00D05970"/>
    <w:rsid w:val="00D07FEA"/>
    <w:rsid w:val="00D1031F"/>
    <w:rsid w:val="00D1143A"/>
    <w:rsid w:val="00D14313"/>
    <w:rsid w:val="00D1563D"/>
    <w:rsid w:val="00D17810"/>
    <w:rsid w:val="00D25D64"/>
    <w:rsid w:val="00D44BAD"/>
    <w:rsid w:val="00D641A1"/>
    <w:rsid w:val="00D8038D"/>
    <w:rsid w:val="00D8142F"/>
    <w:rsid w:val="00D84DBA"/>
    <w:rsid w:val="00DA193C"/>
    <w:rsid w:val="00DB4244"/>
    <w:rsid w:val="00DB4E4A"/>
    <w:rsid w:val="00DC0E3D"/>
    <w:rsid w:val="00DE4EDB"/>
    <w:rsid w:val="00DF18BF"/>
    <w:rsid w:val="00DF2EF7"/>
    <w:rsid w:val="00E22728"/>
    <w:rsid w:val="00E233D9"/>
    <w:rsid w:val="00E23980"/>
    <w:rsid w:val="00E33C5E"/>
    <w:rsid w:val="00E41009"/>
    <w:rsid w:val="00E428BA"/>
    <w:rsid w:val="00E45077"/>
    <w:rsid w:val="00E5649A"/>
    <w:rsid w:val="00E64E95"/>
    <w:rsid w:val="00E702DA"/>
    <w:rsid w:val="00E70E9C"/>
    <w:rsid w:val="00E96681"/>
    <w:rsid w:val="00EA1ABE"/>
    <w:rsid w:val="00EA3CEE"/>
    <w:rsid w:val="00EA6BE2"/>
    <w:rsid w:val="00EB531E"/>
    <w:rsid w:val="00EB6E81"/>
    <w:rsid w:val="00EC385C"/>
    <w:rsid w:val="00EE5E83"/>
    <w:rsid w:val="00EF0D9B"/>
    <w:rsid w:val="00EF5E3E"/>
    <w:rsid w:val="00F0267E"/>
    <w:rsid w:val="00F0505D"/>
    <w:rsid w:val="00F057DE"/>
    <w:rsid w:val="00F159DD"/>
    <w:rsid w:val="00F5569A"/>
    <w:rsid w:val="00F74B06"/>
    <w:rsid w:val="00F763DA"/>
    <w:rsid w:val="00F80088"/>
    <w:rsid w:val="00F80513"/>
    <w:rsid w:val="00F91EAB"/>
    <w:rsid w:val="00FA134D"/>
    <w:rsid w:val="00FA3416"/>
    <w:rsid w:val="00FD7B92"/>
    <w:rsid w:val="00FF2D10"/>
    <w:rsid w:val="16E0730F"/>
    <w:rsid w:val="2641C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9F405"/>
  <w15:docId w15:val="{A5B0D5D0-7784-4719-9632-C0FAD7D5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3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1563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5C5D"/>
    <w:pPr>
      <w:tabs>
        <w:tab w:val="center" w:pos="4320"/>
        <w:tab w:val="right" w:pos="8640"/>
      </w:tabs>
    </w:pPr>
  </w:style>
  <w:style w:type="character" w:customStyle="1" w:styleId="FooterChar">
    <w:name w:val="Footer Char"/>
    <w:basedOn w:val="DefaultParagraphFont"/>
    <w:link w:val="Footer"/>
    <w:uiPriority w:val="99"/>
    <w:semiHidden/>
    <w:locked/>
    <w:rsid w:val="00D1031F"/>
    <w:rPr>
      <w:rFonts w:cs="Times New Roman"/>
      <w:sz w:val="24"/>
      <w:szCs w:val="24"/>
    </w:rPr>
  </w:style>
  <w:style w:type="character" w:styleId="PageNumber">
    <w:name w:val="page number"/>
    <w:basedOn w:val="DefaultParagraphFont"/>
    <w:uiPriority w:val="99"/>
    <w:rsid w:val="00855C5D"/>
    <w:rPr>
      <w:rFonts w:cs="Times New Roman"/>
    </w:rPr>
  </w:style>
  <w:style w:type="paragraph" w:styleId="BalloonText">
    <w:name w:val="Balloon Text"/>
    <w:basedOn w:val="Normal"/>
    <w:link w:val="BalloonTextChar"/>
    <w:uiPriority w:val="99"/>
    <w:semiHidden/>
    <w:unhideWhenUsed/>
    <w:rsid w:val="00084818"/>
    <w:rPr>
      <w:rFonts w:ascii="Tahoma" w:hAnsi="Tahoma" w:cs="Tahoma"/>
      <w:sz w:val="16"/>
      <w:szCs w:val="16"/>
    </w:rPr>
  </w:style>
  <w:style w:type="character" w:customStyle="1" w:styleId="BalloonTextChar">
    <w:name w:val="Balloon Text Char"/>
    <w:basedOn w:val="DefaultParagraphFont"/>
    <w:link w:val="BalloonText"/>
    <w:uiPriority w:val="99"/>
    <w:semiHidden/>
    <w:rsid w:val="00084818"/>
    <w:rPr>
      <w:rFonts w:ascii="Tahoma" w:hAnsi="Tahoma" w:cs="Tahoma"/>
      <w:sz w:val="16"/>
      <w:szCs w:val="16"/>
    </w:rPr>
  </w:style>
  <w:style w:type="character" w:styleId="CommentReference">
    <w:name w:val="annotation reference"/>
    <w:basedOn w:val="DefaultParagraphFont"/>
    <w:uiPriority w:val="99"/>
    <w:semiHidden/>
    <w:unhideWhenUsed/>
    <w:rsid w:val="005B7031"/>
    <w:rPr>
      <w:sz w:val="16"/>
      <w:szCs w:val="16"/>
    </w:rPr>
  </w:style>
  <w:style w:type="paragraph" w:styleId="CommentText">
    <w:name w:val="annotation text"/>
    <w:basedOn w:val="Normal"/>
    <w:link w:val="CommentTextChar"/>
    <w:uiPriority w:val="99"/>
    <w:semiHidden/>
    <w:unhideWhenUsed/>
    <w:rsid w:val="005B7031"/>
    <w:rPr>
      <w:sz w:val="20"/>
      <w:szCs w:val="20"/>
    </w:rPr>
  </w:style>
  <w:style w:type="character" w:customStyle="1" w:styleId="CommentTextChar">
    <w:name w:val="Comment Text Char"/>
    <w:basedOn w:val="DefaultParagraphFont"/>
    <w:link w:val="CommentText"/>
    <w:uiPriority w:val="99"/>
    <w:semiHidden/>
    <w:rsid w:val="005B7031"/>
    <w:rPr>
      <w:sz w:val="20"/>
      <w:szCs w:val="20"/>
    </w:rPr>
  </w:style>
  <w:style w:type="paragraph" w:styleId="CommentSubject">
    <w:name w:val="annotation subject"/>
    <w:basedOn w:val="CommentText"/>
    <w:next w:val="CommentText"/>
    <w:link w:val="CommentSubjectChar"/>
    <w:uiPriority w:val="99"/>
    <w:semiHidden/>
    <w:unhideWhenUsed/>
    <w:rsid w:val="005B7031"/>
    <w:rPr>
      <w:b/>
      <w:bCs/>
    </w:rPr>
  </w:style>
  <w:style w:type="character" w:customStyle="1" w:styleId="CommentSubjectChar">
    <w:name w:val="Comment Subject Char"/>
    <w:basedOn w:val="CommentTextChar"/>
    <w:link w:val="CommentSubject"/>
    <w:uiPriority w:val="99"/>
    <w:semiHidden/>
    <w:rsid w:val="005B7031"/>
    <w:rPr>
      <w:b/>
      <w:bCs/>
      <w:sz w:val="20"/>
      <w:szCs w:val="20"/>
    </w:rPr>
  </w:style>
  <w:style w:type="paragraph" w:styleId="Revision">
    <w:name w:val="Revision"/>
    <w:hidden/>
    <w:uiPriority w:val="99"/>
    <w:semiHidden/>
    <w:rsid w:val="005B7031"/>
    <w:pPr>
      <w:spacing w:after="0" w:line="240" w:lineRule="auto"/>
    </w:pPr>
    <w:rPr>
      <w:sz w:val="24"/>
      <w:szCs w:val="24"/>
    </w:rPr>
  </w:style>
  <w:style w:type="table" w:customStyle="1" w:styleId="TableGrid1">
    <w:name w:val="Table Grid1"/>
    <w:basedOn w:val="TableNormal"/>
    <w:next w:val="TableGrid"/>
    <w:uiPriority w:val="99"/>
    <w:rsid w:val="00B32A4C"/>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600"/>
    <w:pPr>
      <w:spacing w:after="160" w:line="278" w:lineRule="auto"/>
      <w:ind w:left="720"/>
      <w:contextualSpacing/>
    </w:pPr>
    <w:rPr>
      <w:rFonts w:asciiTheme="minorHAnsi" w:eastAsiaTheme="minorHAnsi" w:hAnsiTheme="minorHAnsi" w:cstheme="minorBidi"/>
      <w:kern w:val="2"/>
      <w:lang w:val="en-ZA"/>
      <w14:ligatures w14:val="standardContextual"/>
    </w:rPr>
  </w:style>
  <w:style w:type="paragraph" w:customStyle="1" w:styleId="head1">
    <w:name w:val="head1"/>
    <w:basedOn w:val="Normal"/>
    <w:rsid w:val="005915A6"/>
    <w:pPr>
      <w:widowControl w:val="0"/>
      <w:spacing w:before="360"/>
    </w:pPr>
    <w:rPr>
      <w:b/>
      <w:szCs w:val="20"/>
      <w:lang w:val="en-GB"/>
    </w:rPr>
  </w:style>
  <w:style w:type="paragraph" w:customStyle="1" w:styleId="000">
    <w:name w:val="0.00"/>
    <w:basedOn w:val="Normal"/>
    <w:rsid w:val="00F5569A"/>
    <w:pPr>
      <w:widowControl w:val="0"/>
      <w:tabs>
        <w:tab w:val="left" w:pos="794"/>
      </w:tabs>
      <w:spacing w:before="120"/>
      <w:ind w:left="794" w:hanging="794"/>
      <w:jc w:val="both"/>
    </w:pPr>
    <w:rPr>
      <w:sz w:val="22"/>
      <w:szCs w:val="20"/>
      <w:lang w:val="en-GB"/>
    </w:rPr>
  </w:style>
  <w:style w:type="paragraph" w:customStyle="1" w:styleId="a-0000">
    <w:name w:val="(a)-00.00"/>
    <w:basedOn w:val="Normal"/>
    <w:rsid w:val="00F5569A"/>
    <w:pPr>
      <w:widowControl w:val="0"/>
      <w:tabs>
        <w:tab w:val="left" w:pos="794"/>
        <w:tab w:val="left" w:pos="1304"/>
      </w:tabs>
      <w:spacing w:before="180"/>
      <w:ind w:left="1304" w:hanging="1304"/>
      <w:jc w:val="both"/>
    </w:pPr>
    <w:rPr>
      <w:rFonts w:ascii="Verdana" w:hAnsi="Verdana"/>
      <w:sz w:val="18"/>
      <w:szCs w:val="20"/>
      <w:lang w:val="en-GB"/>
    </w:rPr>
  </w:style>
  <w:style w:type="paragraph" w:customStyle="1" w:styleId="i-0000a">
    <w:name w:val="(i)-0.000(a)"/>
    <w:basedOn w:val="Normal"/>
    <w:rsid w:val="008661C0"/>
    <w:pPr>
      <w:widowControl w:val="0"/>
      <w:tabs>
        <w:tab w:val="right" w:pos="1758"/>
        <w:tab w:val="left" w:pos="1871"/>
      </w:tabs>
      <w:spacing w:before="180"/>
      <w:ind w:left="1871" w:hanging="1871"/>
      <w:jc w:val="both"/>
    </w:pPr>
    <w:rPr>
      <w:rFonts w:ascii="Verdana" w:hAnsi="Verdana"/>
      <w:sz w:val="18"/>
      <w:szCs w:val="20"/>
      <w:lang w:val="en-GB"/>
    </w:rPr>
  </w:style>
  <w:style w:type="paragraph" w:customStyle="1" w:styleId="000aiaa">
    <w:name w:val="0.00(a)(i)(aa)"/>
    <w:basedOn w:val="Normal"/>
    <w:rsid w:val="008661C0"/>
    <w:pPr>
      <w:widowControl w:val="0"/>
      <w:tabs>
        <w:tab w:val="left" w:pos="1928"/>
        <w:tab w:val="left" w:pos="2438"/>
      </w:tabs>
      <w:spacing w:before="180"/>
      <w:ind w:left="2438" w:hanging="2438"/>
      <w:jc w:val="both"/>
    </w:pPr>
    <w:rPr>
      <w:rFonts w:ascii="Verdana" w:hAnsi="Verdana"/>
      <w:sz w:val="18"/>
      <w:szCs w:val="20"/>
      <w:lang w:val="en-GB"/>
    </w:rPr>
  </w:style>
  <w:style w:type="paragraph" w:customStyle="1" w:styleId="1-000a">
    <w:name w:val="(1)-0.00(a)"/>
    <w:basedOn w:val="Normal"/>
    <w:rsid w:val="008661C0"/>
    <w:pPr>
      <w:widowControl w:val="0"/>
      <w:tabs>
        <w:tab w:val="left" w:pos="1304"/>
        <w:tab w:val="left" w:pos="1871"/>
        <w:tab w:val="left" w:pos="2268"/>
      </w:tabs>
      <w:spacing w:before="180"/>
      <w:ind w:left="1871" w:hanging="1871"/>
      <w:jc w:val="both"/>
    </w:pPr>
    <w:rPr>
      <w:rFonts w:ascii="Verdana" w:hAnsi="Verdana"/>
      <w:sz w:val="18"/>
      <w:szCs w:val="20"/>
      <w:lang w:val="en-GB"/>
    </w:rPr>
  </w:style>
  <w:style w:type="paragraph" w:customStyle="1" w:styleId="parafullout">
    <w:name w:val="parafullout"/>
    <w:basedOn w:val="Normal"/>
    <w:rsid w:val="003D40EE"/>
    <w:pPr>
      <w:widowControl w:val="0"/>
      <w:spacing w:before="120" w:after="160" w:line="278" w:lineRule="auto"/>
    </w:pPr>
    <w:rPr>
      <w:rFonts w:asciiTheme="minorHAnsi" w:eastAsiaTheme="minorHAnsi" w:hAnsiTheme="minorHAnsi" w:cstheme="minorBidi"/>
      <w:kern w:val="2"/>
      <w:szCs w:val="20"/>
      <w:lang w:val="en-ZA"/>
      <w14:ligatures w14:val="standardContextual"/>
    </w:rPr>
  </w:style>
  <w:style w:type="paragraph" w:customStyle="1" w:styleId="head2">
    <w:name w:val="head2"/>
    <w:basedOn w:val="Normal"/>
    <w:rsid w:val="0022639A"/>
    <w:pPr>
      <w:widowControl w:val="0"/>
      <w:spacing w:before="300"/>
    </w:pPr>
    <w:rPr>
      <w:b/>
      <w:sz w:val="22"/>
      <w:szCs w:val="20"/>
      <w:lang w:val="en-GB"/>
    </w:rPr>
  </w:style>
  <w:style w:type="paragraph" w:customStyle="1" w:styleId="i-000a">
    <w:name w:val="(i)-0.00(a)"/>
    <w:basedOn w:val="Normal"/>
    <w:rsid w:val="004870BB"/>
    <w:pPr>
      <w:widowControl w:val="0"/>
      <w:tabs>
        <w:tab w:val="right" w:pos="1758"/>
        <w:tab w:val="left" w:pos="1928"/>
      </w:tabs>
      <w:spacing w:before="120"/>
      <w:ind w:left="1928" w:hanging="1928"/>
      <w:jc w:val="both"/>
    </w:pPr>
    <w:rPr>
      <w:sz w:val="22"/>
      <w:szCs w:val="20"/>
      <w:lang w:val="en-GB"/>
    </w:rPr>
  </w:style>
  <w:style w:type="paragraph" w:styleId="Header">
    <w:name w:val="header"/>
    <w:basedOn w:val="Normal"/>
    <w:link w:val="HeaderChar"/>
    <w:uiPriority w:val="99"/>
    <w:semiHidden/>
    <w:unhideWhenUsed/>
    <w:rsid w:val="00EF0D9B"/>
    <w:pPr>
      <w:tabs>
        <w:tab w:val="center" w:pos="4513"/>
        <w:tab w:val="right" w:pos="9026"/>
      </w:tabs>
    </w:pPr>
  </w:style>
  <w:style w:type="character" w:customStyle="1" w:styleId="HeaderChar">
    <w:name w:val="Header Char"/>
    <w:basedOn w:val="DefaultParagraphFont"/>
    <w:link w:val="Header"/>
    <w:uiPriority w:val="99"/>
    <w:semiHidden/>
    <w:rsid w:val="00EF0D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2FA746240FC740AD3CB72B73894C92" ma:contentTypeVersion="15" ma:contentTypeDescription="Create a new document." ma:contentTypeScope="" ma:versionID="0e02a5faa37632f83e613f6f1c2ce0c9">
  <xsd:schema xmlns:xsd="http://www.w3.org/2001/XMLSchema" xmlns:xs="http://www.w3.org/2001/XMLSchema" xmlns:p="http://schemas.microsoft.com/office/2006/metadata/properties" xmlns:ns2="920d4c4e-6ff9-4c9f-8b88-bfecc0c6e440" xmlns:ns3="7e55ded4-6bfb-494c-8161-9ba6af09e1ba" targetNamespace="http://schemas.microsoft.com/office/2006/metadata/properties" ma:root="true" ma:fieldsID="dc037349dc4ee2c262157e7974b2dbd8" ns2:_="" ns3:_="">
    <xsd:import namespace="920d4c4e-6ff9-4c9f-8b88-bfecc0c6e440"/>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d4c4e-6ff9-4c9f-8b88-bfecc0c6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03b566-d6db-4c39-b837-5cbac37e11cd}"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0d4c4e-6ff9-4c9f-8b88-bfecc0c6e440">
      <Terms xmlns="http://schemas.microsoft.com/office/infopath/2007/PartnerControls"/>
    </lcf76f155ced4ddcb4097134ff3c332f>
    <TaxCatchAll xmlns="7e55ded4-6bfb-494c-8161-9ba6af09e1ba" xsi:nil="true"/>
  </documentManagement>
</p:properties>
</file>

<file path=customXml/itemProps1.xml><?xml version="1.0" encoding="utf-8"?>
<ds:datastoreItem xmlns:ds="http://schemas.openxmlformats.org/officeDocument/2006/customXml" ds:itemID="{CD3A7ABF-AEAB-4DA9-8FC5-B3B21827CAF5}">
  <ds:schemaRefs>
    <ds:schemaRef ds:uri="http://schemas.openxmlformats.org/officeDocument/2006/bibliography"/>
  </ds:schemaRefs>
</ds:datastoreItem>
</file>

<file path=customXml/itemProps2.xml><?xml version="1.0" encoding="utf-8"?>
<ds:datastoreItem xmlns:ds="http://schemas.openxmlformats.org/officeDocument/2006/customXml" ds:itemID="{54FEB669-283A-4C7C-9E36-04DDD7732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d4c4e-6ff9-4c9f-8b88-bfecc0c6e440"/>
    <ds:schemaRef ds:uri="7e55ded4-6bfb-494c-8161-9ba6af09e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7169EA-8846-4C92-8DB6-EA6DCCC20472}">
  <ds:schemaRefs>
    <ds:schemaRef ds:uri="http://schemas.microsoft.com/sharepoint/v3/contenttype/forms"/>
  </ds:schemaRefs>
</ds:datastoreItem>
</file>

<file path=customXml/itemProps4.xml><?xml version="1.0" encoding="utf-8"?>
<ds:datastoreItem xmlns:ds="http://schemas.openxmlformats.org/officeDocument/2006/customXml" ds:itemID="{A373234C-2777-44CA-9E8B-FB27617CEAA7}">
  <ds:schemaRefs>
    <ds:schemaRef ds:uri="http://schemas.microsoft.com/office/2006/metadata/properties"/>
    <ds:schemaRef ds:uri="http://schemas.microsoft.com/office/infopath/2007/PartnerControls"/>
    <ds:schemaRef ds:uri="920d4c4e-6ff9-4c9f-8b88-bfecc0c6e440"/>
    <ds:schemaRef ds:uri="7e55ded4-6bfb-494c-8161-9ba6af09e1ba"/>
  </ds:schemaRefs>
</ds:datastoreItem>
</file>

<file path=docProps/app.xml><?xml version="1.0" encoding="utf-8"?>
<Properties xmlns="http://schemas.openxmlformats.org/officeDocument/2006/extended-properties" xmlns:vt="http://schemas.openxmlformats.org/officeDocument/2006/docPropsVTypes">
  <Template>Normal</Template>
  <TotalTime>2071</TotalTime>
  <Pages>4</Pages>
  <Words>1067</Words>
  <Characters>5709</Characters>
  <Application>Microsoft Office Word</Application>
  <DocSecurity>0</DocSecurity>
  <Lines>259</Lines>
  <Paragraphs>123</Paragraphs>
  <ScaleCrop>false</ScaleCrop>
  <HeadingPairs>
    <vt:vector size="2" baseType="variant">
      <vt:variant>
        <vt:lpstr>Title</vt:lpstr>
      </vt:variant>
      <vt:variant>
        <vt:i4>1</vt:i4>
      </vt:variant>
    </vt:vector>
  </HeadingPairs>
  <TitlesOfParts>
    <vt:vector size="1" baseType="lpstr">
      <vt:lpstr>Repurchase Specific Authority</vt:lpstr>
    </vt:vector>
  </TitlesOfParts>
  <Company>I.R.I.S.</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Repurchase Specific Authority</dc:title>
  <dc:creator>Readiris</dc:creator>
  <cp:lastModifiedBy>Bernardine Joubert</cp:lastModifiedBy>
  <cp:revision>181</cp:revision>
  <cp:lastPrinted>2006-02-22T09:56:00Z</cp:lastPrinted>
  <dcterms:created xsi:type="dcterms:W3CDTF">2025-12-04T07:42:00Z</dcterms:created>
  <dcterms:modified xsi:type="dcterms:W3CDTF">2026-01-23T10:43:00Z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y fmtid="{D5CDD505-2E9C-101B-9397-08002B2CF9AE}" pid="3" name="ContentTypeId">
    <vt:lpwstr>0x010100C82FA746240FC740AD3CB72B73894C92</vt:lpwstr>
  </property>
  <property fmtid="{D5CDD505-2E9C-101B-9397-08002B2CF9AE}" pid="4" name="JSENavigation">
    <vt:lpwstr>15;#Issuer Regulation|99067b85-c558-44a1-b781-11281df7a622</vt:lpwstr>
  </property>
  <property fmtid="{D5CDD505-2E9C-101B-9397-08002B2CF9AE}" pid="5" name="MSIP_Label_ce93fc94-2a04-4870-acee-9c0cd4b7d590_Enabled">
    <vt:lpwstr>true</vt:lpwstr>
  </property>
  <property fmtid="{D5CDD505-2E9C-101B-9397-08002B2CF9AE}" pid="6" name="MSIP_Label_ce93fc94-2a04-4870-acee-9c0cd4b7d590_SetDate">
    <vt:lpwstr>2022-09-05T12:21:18Z</vt:lpwstr>
  </property>
  <property fmtid="{D5CDD505-2E9C-101B-9397-08002B2CF9AE}" pid="7" name="MSIP_Label_ce93fc94-2a04-4870-acee-9c0cd4b7d590_Method">
    <vt:lpwstr>Standard</vt:lpwstr>
  </property>
  <property fmtid="{D5CDD505-2E9C-101B-9397-08002B2CF9AE}" pid="8" name="MSIP_Label_ce93fc94-2a04-4870-acee-9c0cd4b7d590_Name">
    <vt:lpwstr>Internal</vt:lpwstr>
  </property>
  <property fmtid="{D5CDD505-2E9C-101B-9397-08002B2CF9AE}" pid="9" name="MSIP_Label_ce93fc94-2a04-4870-acee-9c0cd4b7d590_SiteId">
    <vt:lpwstr>cffa6640-7572-4f05-9c64-cd88068c19d4</vt:lpwstr>
  </property>
  <property fmtid="{D5CDD505-2E9C-101B-9397-08002B2CF9AE}" pid="10" name="MSIP_Label_ce93fc94-2a04-4870-acee-9c0cd4b7d590_ActionId">
    <vt:lpwstr>e01ff41b-a66d-499d-9cb5-a1b2d44384e4</vt:lpwstr>
  </property>
  <property fmtid="{D5CDD505-2E9C-101B-9397-08002B2CF9AE}" pid="11" name="MSIP_Label_ce93fc94-2a04-4870-acee-9c0cd4b7d590_ContentBits">
    <vt:lpwstr>0</vt:lpwstr>
  </property>
  <property fmtid="{D5CDD505-2E9C-101B-9397-08002B2CF9AE}" pid="12" name="MediaServiceImageTags">
    <vt:lpwstr/>
  </property>
</Properties>
</file>