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3887" w:type="dxa"/>
        <w:tblLook w:val="04A0" w:firstRow="1" w:lastRow="0" w:firstColumn="1" w:lastColumn="0" w:noHBand="0" w:noVBand="1"/>
      </w:tblPr>
      <w:tblGrid>
        <w:gridCol w:w="13887"/>
      </w:tblGrid>
      <w:tr w:rsidR="00763B2F" w:rsidRPr="004870BB" w14:paraId="19F176CF" w14:textId="77777777" w:rsidTr="00636A93">
        <w:tc>
          <w:tcPr>
            <w:tcW w:w="13887" w:type="dxa"/>
            <w:shd w:val="clear" w:color="auto" w:fill="92D050"/>
          </w:tcPr>
          <w:p w14:paraId="4338F426" w14:textId="458294C6" w:rsidR="000C53D6" w:rsidRPr="004870BB" w:rsidRDefault="005C2037" w:rsidP="00D03073">
            <w:pPr>
              <w:jc w:val="center"/>
              <w:rPr>
                <w:rFonts w:ascii="Arial" w:hAnsi="Arial" w:cs="Arial"/>
                <w:b/>
                <w:bCs/>
                <w:sz w:val="20"/>
                <w:szCs w:val="20"/>
              </w:rPr>
            </w:pPr>
            <w:r w:rsidRPr="004870BB">
              <w:rPr>
                <w:rFonts w:ascii="Arial" w:hAnsi="Arial" w:cs="Arial"/>
                <w:b/>
                <w:bCs/>
                <w:sz w:val="20"/>
                <w:szCs w:val="20"/>
              </w:rPr>
              <w:t xml:space="preserve">Annual </w:t>
            </w:r>
            <w:r w:rsidR="00DB4E4A">
              <w:rPr>
                <w:rFonts w:ascii="Arial" w:hAnsi="Arial" w:cs="Arial"/>
                <w:b/>
                <w:bCs/>
                <w:sz w:val="20"/>
                <w:szCs w:val="20"/>
              </w:rPr>
              <w:t>Report</w:t>
            </w:r>
            <w:r w:rsidRPr="004870BB">
              <w:rPr>
                <w:rFonts w:ascii="Arial" w:hAnsi="Arial" w:cs="Arial"/>
                <w:b/>
                <w:bCs/>
                <w:sz w:val="20"/>
                <w:szCs w:val="20"/>
              </w:rPr>
              <w:t xml:space="preserve"> </w:t>
            </w:r>
          </w:p>
          <w:p w14:paraId="01C5BD07" w14:textId="77777777" w:rsidR="007E0E7E" w:rsidRPr="004870BB" w:rsidRDefault="007E0E7E" w:rsidP="00D03073">
            <w:pPr>
              <w:jc w:val="center"/>
              <w:rPr>
                <w:rFonts w:ascii="Arial" w:hAnsi="Arial" w:cs="Arial"/>
                <w:b/>
                <w:bCs/>
                <w:sz w:val="20"/>
                <w:szCs w:val="20"/>
              </w:rPr>
            </w:pPr>
            <w:r w:rsidRPr="004870BB">
              <w:rPr>
                <w:rFonts w:ascii="Arial" w:hAnsi="Arial" w:cs="Arial"/>
                <w:b/>
                <w:bCs/>
                <w:sz w:val="20"/>
                <w:szCs w:val="20"/>
              </w:rPr>
              <w:t>January 2026</w:t>
            </w:r>
          </w:p>
        </w:tc>
      </w:tr>
    </w:tbl>
    <w:p w14:paraId="5F679EB1" w14:textId="77777777" w:rsidR="007E0E7E" w:rsidRPr="004870BB" w:rsidRDefault="007E0E7E" w:rsidP="007E0E7E">
      <w:pPr>
        <w:jc w:val="center"/>
        <w:rPr>
          <w:rFonts w:ascii="Arial" w:hAnsi="Arial" w:cs="Arial"/>
          <w:b/>
          <w:bCs/>
          <w:sz w:val="20"/>
          <w:szCs w:val="20"/>
        </w:rPr>
      </w:pPr>
    </w:p>
    <w:p w14:paraId="253FE5B0" w14:textId="41913805" w:rsidR="007E0E7E" w:rsidRPr="004870BB" w:rsidRDefault="007769B8" w:rsidP="007769B8">
      <w:pPr>
        <w:rPr>
          <w:rFonts w:ascii="Arial" w:hAnsi="Arial" w:cs="Arial"/>
          <w:b/>
          <w:bCs/>
          <w:sz w:val="20"/>
          <w:szCs w:val="20"/>
        </w:rPr>
      </w:pPr>
      <w:r w:rsidRPr="004870BB">
        <w:rPr>
          <w:rFonts w:ascii="Arial" w:hAnsi="Arial" w:cs="Arial"/>
          <w:b/>
          <w:bCs/>
          <w:sz w:val="20"/>
          <w:szCs w:val="20"/>
        </w:rPr>
        <w:t>Issuer Name:</w:t>
      </w:r>
      <w:r w:rsidR="000E2736" w:rsidRPr="004870BB">
        <w:rPr>
          <w:rFonts w:ascii="Arial" w:hAnsi="Arial" w:cs="Arial"/>
          <w:b/>
          <w:bCs/>
          <w:sz w:val="20"/>
          <w:szCs w:val="20"/>
        </w:rPr>
        <w:t xml:space="preserve"> [………………………….]</w:t>
      </w:r>
    </w:p>
    <w:p w14:paraId="378342FC" w14:textId="77777777" w:rsidR="007769B8" w:rsidRPr="004870BB" w:rsidRDefault="007769B8" w:rsidP="007769B8">
      <w:pPr>
        <w:rPr>
          <w:rFonts w:ascii="Arial" w:hAnsi="Arial" w:cs="Arial"/>
          <w:b/>
          <w:bCs/>
          <w:sz w:val="20"/>
          <w:szCs w:val="20"/>
        </w:rPr>
      </w:pPr>
    </w:p>
    <w:p w14:paraId="3A988E05" w14:textId="17836A15" w:rsidR="007769B8" w:rsidRPr="004870BB" w:rsidRDefault="000E2736" w:rsidP="007769B8">
      <w:pPr>
        <w:rPr>
          <w:rFonts w:ascii="Arial" w:hAnsi="Arial" w:cs="Arial"/>
          <w:b/>
          <w:bCs/>
          <w:sz w:val="20"/>
          <w:szCs w:val="20"/>
        </w:rPr>
      </w:pPr>
      <w:r w:rsidRPr="004870BB">
        <w:rPr>
          <w:rFonts w:ascii="Arial" w:hAnsi="Arial" w:cs="Arial"/>
          <w:b/>
          <w:bCs/>
          <w:sz w:val="20"/>
          <w:szCs w:val="20"/>
        </w:rPr>
        <w:t>Financial</w:t>
      </w:r>
      <w:r w:rsidR="007769B8" w:rsidRPr="004870BB">
        <w:rPr>
          <w:rFonts w:ascii="Arial" w:hAnsi="Arial" w:cs="Arial"/>
          <w:b/>
          <w:bCs/>
          <w:sz w:val="20"/>
          <w:szCs w:val="20"/>
        </w:rPr>
        <w:t xml:space="preserve"> Year: </w:t>
      </w:r>
      <w:r w:rsidRPr="004870BB">
        <w:rPr>
          <w:rFonts w:ascii="Arial" w:hAnsi="Arial" w:cs="Arial"/>
          <w:b/>
          <w:bCs/>
          <w:sz w:val="20"/>
          <w:szCs w:val="20"/>
        </w:rPr>
        <w:t>[……………….]</w:t>
      </w:r>
    </w:p>
    <w:p w14:paraId="2E2D5B03" w14:textId="77777777" w:rsidR="007769B8" w:rsidRDefault="007769B8" w:rsidP="007E0E7E">
      <w:pPr>
        <w:jc w:val="center"/>
        <w:rPr>
          <w:rFonts w:ascii="Arial" w:hAnsi="Arial" w:cs="Arial"/>
          <w:b/>
          <w:bCs/>
          <w:sz w:val="20"/>
          <w:szCs w:val="20"/>
        </w:rPr>
      </w:pPr>
    </w:p>
    <w:p w14:paraId="21520C8A" w14:textId="63B7DF2D" w:rsidR="00E428BA" w:rsidRPr="00BA64B2" w:rsidRDefault="00E428BA" w:rsidP="007E0E7E">
      <w:pPr>
        <w:jc w:val="center"/>
        <w:rPr>
          <w:rFonts w:ascii="Arial" w:hAnsi="Arial" w:cs="Arial"/>
          <w:b/>
          <w:bCs/>
          <w:sz w:val="20"/>
          <w:szCs w:val="20"/>
        </w:rPr>
      </w:pPr>
      <w:r w:rsidRPr="00BA64B2">
        <w:rPr>
          <w:rFonts w:ascii="Arial" w:hAnsi="Arial" w:cs="Arial"/>
          <w:b/>
          <w:bCs/>
          <w:sz w:val="20"/>
          <w:szCs w:val="20"/>
        </w:rPr>
        <w:t>Primary Listings – Mainboard and AltX</w:t>
      </w:r>
    </w:p>
    <w:p w14:paraId="08F94394" w14:textId="77777777" w:rsidR="007769B8" w:rsidRPr="004870BB" w:rsidRDefault="007769B8" w:rsidP="007E0E7E">
      <w:pPr>
        <w:jc w:val="center"/>
        <w:rPr>
          <w:rFonts w:ascii="Arial" w:hAnsi="Arial" w:cs="Arial"/>
          <w:b/>
          <w:bCs/>
          <w:sz w:val="20"/>
          <w:szCs w:val="20"/>
        </w:rPr>
      </w:pPr>
    </w:p>
    <w:tbl>
      <w:tblPr>
        <w:tblStyle w:val="TableGrid"/>
        <w:tblW w:w="13892" w:type="dxa"/>
        <w:tblInd w:w="-5" w:type="dxa"/>
        <w:tblLayout w:type="fixed"/>
        <w:tblLook w:val="01E0" w:firstRow="1" w:lastRow="1" w:firstColumn="1" w:lastColumn="1" w:noHBand="0" w:noVBand="0"/>
      </w:tblPr>
      <w:tblGrid>
        <w:gridCol w:w="524"/>
        <w:gridCol w:w="2170"/>
        <w:gridCol w:w="3118"/>
        <w:gridCol w:w="8080"/>
      </w:tblGrid>
      <w:tr w:rsidR="00763B2F" w:rsidRPr="004870BB" w14:paraId="4F1FBC6F" w14:textId="269F3CD3" w:rsidTr="00C56709">
        <w:tc>
          <w:tcPr>
            <w:tcW w:w="524" w:type="dxa"/>
            <w:shd w:val="clear" w:color="auto" w:fill="BFBFBF" w:themeFill="background1" w:themeFillShade="BF"/>
          </w:tcPr>
          <w:p w14:paraId="1F5B4E4E" w14:textId="77777777" w:rsidR="00636A93" w:rsidRPr="004870BB" w:rsidRDefault="00636A93" w:rsidP="00D03073">
            <w:pPr>
              <w:jc w:val="center"/>
              <w:rPr>
                <w:rFonts w:ascii="Arial" w:hAnsi="Arial" w:cs="Arial"/>
                <w:b/>
                <w:bCs/>
                <w:sz w:val="20"/>
                <w:szCs w:val="20"/>
              </w:rPr>
            </w:pPr>
          </w:p>
        </w:tc>
        <w:tc>
          <w:tcPr>
            <w:tcW w:w="2170" w:type="dxa"/>
            <w:shd w:val="clear" w:color="auto" w:fill="BFBFBF" w:themeFill="background1" w:themeFillShade="BF"/>
          </w:tcPr>
          <w:p w14:paraId="0CD7D71D" w14:textId="77777777" w:rsidR="00636A93" w:rsidRPr="004870BB" w:rsidRDefault="00636A93" w:rsidP="00D14313">
            <w:pPr>
              <w:rPr>
                <w:rFonts w:ascii="Arial" w:hAnsi="Arial" w:cs="Arial"/>
                <w:b/>
                <w:bCs/>
                <w:sz w:val="20"/>
                <w:szCs w:val="20"/>
              </w:rPr>
            </w:pPr>
            <w:r w:rsidRPr="004870BB">
              <w:rPr>
                <w:rFonts w:ascii="Arial" w:hAnsi="Arial" w:cs="Arial"/>
                <w:b/>
                <w:bCs/>
                <w:sz w:val="20"/>
                <w:szCs w:val="20"/>
              </w:rPr>
              <w:t>LR Ref</w:t>
            </w:r>
          </w:p>
        </w:tc>
        <w:tc>
          <w:tcPr>
            <w:tcW w:w="3118" w:type="dxa"/>
            <w:shd w:val="clear" w:color="auto" w:fill="BFBFBF" w:themeFill="background1" w:themeFillShade="BF"/>
          </w:tcPr>
          <w:p w14:paraId="4F641FAB" w14:textId="77777777" w:rsidR="00636A93" w:rsidRPr="004870BB" w:rsidRDefault="00636A93" w:rsidP="00D14313">
            <w:pPr>
              <w:rPr>
                <w:rFonts w:ascii="Arial" w:hAnsi="Arial" w:cs="Arial"/>
                <w:b/>
                <w:bCs/>
                <w:sz w:val="20"/>
                <w:szCs w:val="20"/>
              </w:rPr>
            </w:pPr>
            <w:r w:rsidRPr="004870BB">
              <w:rPr>
                <w:rFonts w:ascii="Arial" w:hAnsi="Arial" w:cs="Arial"/>
                <w:b/>
                <w:bCs/>
                <w:sz w:val="20"/>
                <w:szCs w:val="20"/>
              </w:rPr>
              <w:t>Paragraph reference where this is addressed or reason why not addressed</w:t>
            </w:r>
          </w:p>
        </w:tc>
        <w:tc>
          <w:tcPr>
            <w:tcW w:w="8080" w:type="dxa"/>
            <w:shd w:val="clear" w:color="auto" w:fill="BFBFBF" w:themeFill="background1" w:themeFillShade="BF"/>
          </w:tcPr>
          <w:p w14:paraId="45ED4098" w14:textId="19665978" w:rsidR="00636A93" w:rsidRPr="004870BB" w:rsidRDefault="007B66A7" w:rsidP="00D14313">
            <w:pPr>
              <w:rPr>
                <w:rFonts w:ascii="Arial" w:hAnsi="Arial" w:cs="Arial"/>
                <w:b/>
                <w:bCs/>
                <w:sz w:val="20"/>
                <w:szCs w:val="20"/>
              </w:rPr>
            </w:pPr>
            <w:r w:rsidRPr="004870BB">
              <w:rPr>
                <w:rFonts w:ascii="Arial" w:hAnsi="Arial" w:cs="Arial"/>
                <w:b/>
                <w:bCs/>
                <w:sz w:val="20"/>
                <w:szCs w:val="20"/>
              </w:rPr>
              <w:t xml:space="preserve">LR Extracts </w:t>
            </w:r>
          </w:p>
        </w:tc>
      </w:tr>
      <w:tr w:rsidR="00C56709" w:rsidRPr="004870BB" w:rsidDel="004E375D" w14:paraId="1FD35EFB" w14:textId="41ABB784" w:rsidTr="00C56709">
        <w:tc>
          <w:tcPr>
            <w:tcW w:w="524" w:type="dxa"/>
          </w:tcPr>
          <w:p w14:paraId="2C880FCD" w14:textId="77777777" w:rsidR="00C56709" w:rsidRPr="004870BB" w:rsidRDefault="00C56709" w:rsidP="00872BB2">
            <w:pPr>
              <w:spacing w:line="276" w:lineRule="auto"/>
              <w:ind w:left="360"/>
              <w:rPr>
                <w:rFonts w:ascii="Arial" w:hAnsi="Arial" w:cs="Arial"/>
                <w:iCs/>
                <w:sz w:val="20"/>
                <w:szCs w:val="20"/>
              </w:rPr>
            </w:pPr>
          </w:p>
        </w:tc>
        <w:tc>
          <w:tcPr>
            <w:tcW w:w="2170" w:type="dxa"/>
          </w:tcPr>
          <w:p w14:paraId="17FFCB38" w14:textId="77777777" w:rsidR="00C56709" w:rsidRPr="004870BB" w:rsidDel="004E375D" w:rsidRDefault="00C56709" w:rsidP="00D14313">
            <w:pPr>
              <w:rPr>
                <w:rFonts w:ascii="Arial" w:hAnsi="Arial" w:cs="Arial"/>
                <w:iCs/>
                <w:sz w:val="20"/>
                <w:szCs w:val="20"/>
              </w:rPr>
            </w:pPr>
            <w:r w:rsidRPr="00A973BD">
              <w:rPr>
                <w:rFonts w:ascii="Arial" w:hAnsi="Arial" w:cs="Arial"/>
                <w:b/>
                <w:bCs/>
                <w:sz w:val="20"/>
                <w:szCs w:val="20"/>
              </w:rPr>
              <w:t>Additional content for annual reports</w:t>
            </w:r>
            <w:r w:rsidRPr="00A973BD" w:rsidDel="004E375D">
              <w:rPr>
                <w:rFonts w:ascii="Arial" w:hAnsi="Arial" w:cs="Arial"/>
                <w:iCs/>
                <w:sz w:val="20"/>
                <w:szCs w:val="20"/>
              </w:rPr>
              <w:t xml:space="preserve"> </w:t>
            </w:r>
          </w:p>
        </w:tc>
        <w:tc>
          <w:tcPr>
            <w:tcW w:w="3118" w:type="dxa"/>
          </w:tcPr>
          <w:p w14:paraId="4B23DEE9" w14:textId="77777777" w:rsidR="00C56709" w:rsidRPr="004870BB" w:rsidDel="004E375D" w:rsidRDefault="00C56709" w:rsidP="00D14313">
            <w:pPr>
              <w:rPr>
                <w:rFonts w:ascii="Arial" w:hAnsi="Arial" w:cs="Arial"/>
                <w:iCs/>
                <w:sz w:val="20"/>
                <w:szCs w:val="20"/>
              </w:rPr>
            </w:pPr>
          </w:p>
        </w:tc>
        <w:tc>
          <w:tcPr>
            <w:tcW w:w="8080" w:type="dxa"/>
          </w:tcPr>
          <w:p w14:paraId="73AC2C60" w14:textId="62CE1B72" w:rsidR="00C56709" w:rsidRPr="004870BB" w:rsidDel="004E375D" w:rsidRDefault="00C56709" w:rsidP="00D14313">
            <w:pPr>
              <w:rPr>
                <w:rFonts w:ascii="Arial" w:hAnsi="Arial" w:cs="Arial"/>
                <w:iCs/>
                <w:sz w:val="20"/>
                <w:szCs w:val="20"/>
              </w:rPr>
            </w:pPr>
          </w:p>
        </w:tc>
      </w:tr>
      <w:tr w:rsidR="00D44BAD" w:rsidRPr="004870BB" w:rsidDel="004E375D" w14:paraId="21316050" w14:textId="58409EC4" w:rsidTr="00C56709">
        <w:tc>
          <w:tcPr>
            <w:tcW w:w="524" w:type="dxa"/>
          </w:tcPr>
          <w:p w14:paraId="0AEF8C9E" w14:textId="77777777" w:rsidR="00D44BAD" w:rsidRPr="004870BB" w:rsidRDefault="00D44BAD" w:rsidP="00872BB2">
            <w:pPr>
              <w:numPr>
                <w:ilvl w:val="0"/>
                <w:numId w:val="2"/>
              </w:numPr>
              <w:spacing w:line="276" w:lineRule="auto"/>
              <w:rPr>
                <w:rFonts w:ascii="Arial" w:hAnsi="Arial" w:cs="Arial"/>
                <w:iCs/>
                <w:sz w:val="20"/>
                <w:szCs w:val="20"/>
              </w:rPr>
            </w:pPr>
          </w:p>
        </w:tc>
        <w:tc>
          <w:tcPr>
            <w:tcW w:w="2170" w:type="dxa"/>
          </w:tcPr>
          <w:p w14:paraId="22F23D2D" w14:textId="4A887670" w:rsidR="00D44BAD" w:rsidRPr="004870BB" w:rsidRDefault="00D44BAD" w:rsidP="00D14313">
            <w:pPr>
              <w:rPr>
                <w:rFonts w:ascii="Arial" w:hAnsi="Arial" w:cs="Arial"/>
                <w:iCs/>
                <w:sz w:val="20"/>
                <w:szCs w:val="20"/>
              </w:rPr>
            </w:pPr>
            <w:r>
              <w:rPr>
                <w:rFonts w:ascii="Arial" w:hAnsi="Arial" w:cs="Arial"/>
                <w:iCs/>
                <w:sz w:val="20"/>
                <w:szCs w:val="20"/>
              </w:rPr>
              <w:t>11.38(a)(i)</w:t>
            </w:r>
          </w:p>
        </w:tc>
        <w:tc>
          <w:tcPr>
            <w:tcW w:w="3118" w:type="dxa"/>
            <w:vMerge w:val="restart"/>
          </w:tcPr>
          <w:p w14:paraId="4221AE88" w14:textId="77777777" w:rsidR="00D44BAD" w:rsidRPr="004870BB" w:rsidDel="004E375D" w:rsidRDefault="00D44BAD" w:rsidP="00D14313">
            <w:pPr>
              <w:rPr>
                <w:rFonts w:ascii="Arial" w:hAnsi="Arial" w:cs="Arial"/>
                <w:iCs/>
                <w:sz w:val="20"/>
                <w:szCs w:val="20"/>
              </w:rPr>
            </w:pPr>
          </w:p>
        </w:tc>
        <w:tc>
          <w:tcPr>
            <w:tcW w:w="8080" w:type="dxa"/>
            <w:vMerge w:val="restart"/>
          </w:tcPr>
          <w:p w14:paraId="6E287C76" w14:textId="41A6DA5B" w:rsidR="00D44BAD" w:rsidRPr="00872BB2" w:rsidRDefault="00D44BAD" w:rsidP="00D14313">
            <w:pPr>
              <w:rPr>
                <w:rFonts w:ascii="Arial" w:hAnsi="Arial" w:cs="Arial"/>
                <w:iCs/>
                <w:sz w:val="20"/>
                <w:szCs w:val="20"/>
                <w:lang w:val="en-ZA"/>
              </w:rPr>
            </w:pPr>
            <w:r>
              <w:rPr>
                <w:rFonts w:ascii="Arial" w:hAnsi="Arial" w:cs="Arial"/>
                <w:iCs/>
                <w:sz w:val="20"/>
                <w:szCs w:val="20"/>
                <w:lang w:val="en-ZA"/>
              </w:rPr>
              <w:t xml:space="preserve">The </w:t>
            </w:r>
            <w:r w:rsidRPr="00872BB2">
              <w:rPr>
                <w:rFonts w:ascii="Arial" w:hAnsi="Arial" w:cs="Arial"/>
                <w:iCs/>
                <w:sz w:val="20"/>
                <w:szCs w:val="20"/>
                <w:lang w:val="en-ZA"/>
              </w:rPr>
              <w:t xml:space="preserve">application of the King Code: </w:t>
            </w:r>
          </w:p>
          <w:p w14:paraId="223BB72D" w14:textId="50D2B505" w:rsidR="00D44BAD" w:rsidRPr="00186D25" w:rsidRDefault="00D44BAD" w:rsidP="00D14313">
            <w:pPr>
              <w:pStyle w:val="ListParagraph"/>
              <w:numPr>
                <w:ilvl w:val="0"/>
                <w:numId w:val="10"/>
              </w:numPr>
              <w:spacing w:line="240" w:lineRule="auto"/>
              <w:rPr>
                <w:rFonts w:ascii="Arial" w:hAnsi="Arial" w:cs="Arial"/>
                <w:iCs/>
                <w:sz w:val="20"/>
                <w:szCs w:val="20"/>
              </w:rPr>
            </w:pPr>
            <w:r w:rsidRPr="00186D25">
              <w:rPr>
                <w:rFonts w:ascii="Arial" w:hAnsi="Arial" w:cs="Arial"/>
                <w:iCs/>
                <w:sz w:val="20"/>
                <w:szCs w:val="20"/>
              </w:rPr>
              <w:t xml:space="preserve">the implementation of the King Code through the King Code application and disclosure regime, which may be incorporated via a weblink; and </w:t>
            </w:r>
          </w:p>
          <w:p w14:paraId="4B582632" w14:textId="798451ED" w:rsidR="00D44BAD" w:rsidRPr="004A3FF0" w:rsidRDefault="00D44BAD" w:rsidP="00D14313">
            <w:pPr>
              <w:pStyle w:val="ListParagraph"/>
              <w:numPr>
                <w:ilvl w:val="0"/>
                <w:numId w:val="10"/>
              </w:numPr>
              <w:spacing w:line="240" w:lineRule="auto"/>
              <w:rPr>
                <w:rFonts w:ascii="Arial" w:hAnsi="Arial" w:cs="Arial"/>
                <w:iCs/>
                <w:sz w:val="20"/>
                <w:szCs w:val="20"/>
              </w:rPr>
            </w:pPr>
            <w:r w:rsidRPr="00186D25">
              <w:rPr>
                <w:rFonts w:ascii="Arial" w:hAnsi="Arial" w:cs="Arial"/>
                <w:iCs/>
                <w:sz w:val="20"/>
                <w:szCs w:val="20"/>
              </w:rPr>
              <w:t>a narrative on the non-binding advisory votes in terms of 5.7(k), dealing with (1) who the issuer engaged with and the manner and form of engagement and (2) the nature and steps taken to address objections</w:t>
            </w:r>
          </w:p>
          <w:p w14:paraId="59905B04" w14:textId="3E487790" w:rsidR="00D44BAD" w:rsidRPr="004A3FF0" w:rsidRDefault="00D44BAD" w:rsidP="00D14313">
            <w:pPr>
              <w:rPr>
                <w:rFonts w:ascii="Arial" w:hAnsi="Arial" w:cs="Arial"/>
                <w:iCs/>
                <w:color w:val="00B050"/>
                <w:sz w:val="20"/>
                <w:szCs w:val="20"/>
                <w:lang w:val="en-ZA"/>
              </w:rPr>
            </w:pPr>
            <w:r w:rsidRPr="004A3FF0">
              <w:rPr>
                <w:rFonts w:ascii="Arial" w:hAnsi="Arial" w:cs="Arial"/>
                <w:iCs/>
                <w:color w:val="00B050"/>
                <w:sz w:val="20"/>
                <w:szCs w:val="20"/>
                <w:lang w:val="en-ZA"/>
              </w:rPr>
              <w:t xml:space="preserve">ALTX must comply with the following: </w:t>
            </w:r>
          </w:p>
          <w:p w14:paraId="120081EC" w14:textId="09321432" w:rsidR="00D44BAD" w:rsidRPr="004A3FF0" w:rsidRDefault="00D44BAD" w:rsidP="00D14313">
            <w:pPr>
              <w:rPr>
                <w:rFonts w:ascii="Arial" w:hAnsi="Arial" w:cs="Arial"/>
                <w:iCs/>
                <w:color w:val="00B050"/>
                <w:sz w:val="20"/>
                <w:szCs w:val="20"/>
                <w:lang w:val="en-ZA"/>
              </w:rPr>
            </w:pPr>
            <w:r w:rsidRPr="004A3FF0">
              <w:rPr>
                <w:rFonts w:ascii="Arial" w:hAnsi="Arial" w:cs="Arial"/>
                <w:iCs/>
                <w:color w:val="00B050"/>
                <w:sz w:val="20"/>
                <w:szCs w:val="20"/>
                <w:lang w:val="en-ZA"/>
              </w:rPr>
              <w:t>5.8 a) adopt and apply Part 5.3 (Governing Structures and Delegation of the King Code) of the King Code, through the King Code application and disclosure regime</w:t>
            </w:r>
          </w:p>
          <w:p w14:paraId="4217AE8D" w14:textId="613D7124" w:rsidR="00D44BAD" w:rsidRPr="00974BB9" w:rsidDel="004E375D" w:rsidRDefault="00D44BAD" w:rsidP="00D14313">
            <w:pPr>
              <w:rPr>
                <w:rFonts w:ascii="Arial" w:hAnsi="Arial" w:cs="Arial"/>
                <w:iCs/>
                <w:sz w:val="20"/>
                <w:szCs w:val="20"/>
              </w:rPr>
            </w:pPr>
            <w:r w:rsidRPr="004A3FF0">
              <w:rPr>
                <w:rFonts w:ascii="Arial" w:hAnsi="Arial" w:cs="Arial"/>
                <w:iCs/>
                <w:color w:val="00B050"/>
                <w:sz w:val="20"/>
                <w:szCs w:val="20"/>
                <w:lang w:val="en-ZA"/>
              </w:rPr>
              <w:t>(b) the provisions of 5.7(b) CV, 5.7(c) experience, 5.7(e) financial director, 5.7(f) company secretary, 5.7(h) audit committee, 5.7(j) board diversity policy and 5.7(k) non-binding vote on remuneration</w:t>
            </w:r>
          </w:p>
        </w:tc>
      </w:tr>
      <w:tr w:rsidR="00D44BAD" w:rsidRPr="004870BB" w:rsidDel="004E375D" w14:paraId="73A6DA9B" w14:textId="59A9C8C9" w:rsidTr="00C56709">
        <w:tc>
          <w:tcPr>
            <w:tcW w:w="524" w:type="dxa"/>
          </w:tcPr>
          <w:p w14:paraId="7E48ACC8" w14:textId="77777777" w:rsidR="00D44BAD" w:rsidRPr="004870BB" w:rsidRDefault="00D44BAD" w:rsidP="00872BB2">
            <w:pPr>
              <w:numPr>
                <w:ilvl w:val="0"/>
                <w:numId w:val="2"/>
              </w:numPr>
              <w:spacing w:line="276" w:lineRule="auto"/>
              <w:rPr>
                <w:rFonts w:ascii="Arial" w:hAnsi="Arial" w:cs="Arial"/>
                <w:iCs/>
                <w:sz w:val="20"/>
                <w:szCs w:val="20"/>
              </w:rPr>
            </w:pPr>
          </w:p>
        </w:tc>
        <w:tc>
          <w:tcPr>
            <w:tcW w:w="2170" w:type="dxa"/>
          </w:tcPr>
          <w:p w14:paraId="45197F0C" w14:textId="42AA9CC5" w:rsidR="00D44BAD" w:rsidRPr="004870BB" w:rsidDel="004E375D" w:rsidRDefault="00D44BAD" w:rsidP="00D14313">
            <w:pPr>
              <w:rPr>
                <w:rFonts w:ascii="Arial" w:hAnsi="Arial" w:cs="Arial"/>
                <w:iCs/>
                <w:sz w:val="20"/>
                <w:szCs w:val="20"/>
              </w:rPr>
            </w:pPr>
            <w:r>
              <w:rPr>
                <w:rFonts w:ascii="Arial" w:hAnsi="Arial" w:cs="Arial"/>
                <w:iCs/>
                <w:sz w:val="20"/>
                <w:szCs w:val="20"/>
              </w:rPr>
              <w:t>11.38(a)(ii)</w:t>
            </w:r>
          </w:p>
        </w:tc>
        <w:tc>
          <w:tcPr>
            <w:tcW w:w="3118" w:type="dxa"/>
            <w:vMerge/>
          </w:tcPr>
          <w:p w14:paraId="7E2BDC14" w14:textId="77777777" w:rsidR="00D44BAD" w:rsidRPr="004870BB" w:rsidDel="004E375D" w:rsidRDefault="00D44BAD" w:rsidP="00D14313">
            <w:pPr>
              <w:rPr>
                <w:rFonts w:ascii="Arial" w:hAnsi="Arial" w:cs="Arial"/>
                <w:iCs/>
                <w:sz w:val="20"/>
                <w:szCs w:val="20"/>
              </w:rPr>
            </w:pPr>
          </w:p>
        </w:tc>
        <w:tc>
          <w:tcPr>
            <w:tcW w:w="8080" w:type="dxa"/>
            <w:vMerge/>
          </w:tcPr>
          <w:p w14:paraId="6188B90F" w14:textId="77777777" w:rsidR="00D44BAD" w:rsidRPr="004870BB" w:rsidDel="004E375D" w:rsidRDefault="00D44BAD" w:rsidP="00D14313">
            <w:pPr>
              <w:rPr>
                <w:rFonts w:ascii="Arial" w:hAnsi="Arial" w:cs="Arial"/>
                <w:iCs/>
                <w:sz w:val="20"/>
                <w:szCs w:val="20"/>
              </w:rPr>
            </w:pPr>
          </w:p>
        </w:tc>
      </w:tr>
      <w:tr w:rsidR="00763B2F" w:rsidRPr="004870BB" w:rsidDel="004E375D" w14:paraId="40D99417" w14:textId="0A217165" w:rsidTr="00C56709">
        <w:tc>
          <w:tcPr>
            <w:tcW w:w="524" w:type="dxa"/>
          </w:tcPr>
          <w:p w14:paraId="631D6983" w14:textId="77777777" w:rsidR="00F5569A" w:rsidRPr="004870BB" w:rsidRDefault="00F5569A" w:rsidP="00872BB2">
            <w:pPr>
              <w:numPr>
                <w:ilvl w:val="0"/>
                <w:numId w:val="2"/>
              </w:numPr>
              <w:spacing w:line="276" w:lineRule="auto"/>
              <w:rPr>
                <w:rFonts w:ascii="Arial" w:hAnsi="Arial" w:cs="Arial"/>
                <w:iCs/>
                <w:sz w:val="20"/>
                <w:szCs w:val="20"/>
              </w:rPr>
            </w:pPr>
          </w:p>
        </w:tc>
        <w:tc>
          <w:tcPr>
            <w:tcW w:w="2170" w:type="dxa"/>
          </w:tcPr>
          <w:p w14:paraId="7A65B482" w14:textId="23AA9E29" w:rsidR="00F5569A" w:rsidRPr="004870BB" w:rsidRDefault="00160D49" w:rsidP="00D14313">
            <w:pPr>
              <w:rPr>
                <w:rFonts w:ascii="Arial" w:hAnsi="Arial" w:cs="Arial"/>
                <w:iCs/>
                <w:sz w:val="20"/>
                <w:szCs w:val="20"/>
              </w:rPr>
            </w:pPr>
            <w:r>
              <w:rPr>
                <w:rFonts w:ascii="Arial" w:hAnsi="Arial" w:cs="Arial"/>
                <w:iCs/>
                <w:sz w:val="20"/>
                <w:szCs w:val="20"/>
              </w:rPr>
              <w:t>11.38(b)</w:t>
            </w:r>
          </w:p>
        </w:tc>
        <w:tc>
          <w:tcPr>
            <w:tcW w:w="3118" w:type="dxa"/>
          </w:tcPr>
          <w:p w14:paraId="2ACACAFA" w14:textId="77777777" w:rsidR="00F5569A" w:rsidRPr="004870BB" w:rsidDel="004E375D" w:rsidRDefault="00F5569A" w:rsidP="00D14313">
            <w:pPr>
              <w:rPr>
                <w:rFonts w:ascii="Arial" w:hAnsi="Arial" w:cs="Arial"/>
                <w:iCs/>
                <w:sz w:val="20"/>
                <w:szCs w:val="20"/>
              </w:rPr>
            </w:pPr>
          </w:p>
        </w:tc>
        <w:tc>
          <w:tcPr>
            <w:tcW w:w="8080" w:type="dxa"/>
          </w:tcPr>
          <w:p w14:paraId="4007E27E" w14:textId="1D349F6A" w:rsidR="00F5569A" w:rsidRPr="004870BB" w:rsidDel="004E375D" w:rsidRDefault="00AB7234" w:rsidP="00D14313">
            <w:pPr>
              <w:rPr>
                <w:rFonts w:ascii="Arial" w:hAnsi="Arial" w:cs="Arial"/>
                <w:iCs/>
                <w:sz w:val="20"/>
                <w:szCs w:val="20"/>
              </w:rPr>
            </w:pPr>
            <w:r>
              <w:rPr>
                <w:rFonts w:ascii="Arial" w:hAnsi="Arial" w:cs="Arial"/>
                <w:iCs/>
                <w:sz w:val="20"/>
                <w:szCs w:val="20"/>
                <w:lang w:val="en-ZA"/>
              </w:rPr>
              <w:t>T</w:t>
            </w:r>
            <w:r w:rsidRPr="00AB7234">
              <w:rPr>
                <w:rFonts w:ascii="Arial" w:hAnsi="Arial" w:cs="Arial"/>
                <w:iCs/>
                <w:sz w:val="20"/>
                <w:szCs w:val="20"/>
                <w:lang w:val="en-ZA"/>
              </w:rPr>
              <w:t>he information regarding trading statements in 6.26</w:t>
            </w:r>
          </w:p>
        </w:tc>
      </w:tr>
      <w:tr w:rsidR="00763B2F" w:rsidRPr="004870BB" w:rsidDel="004E375D" w14:paraId="1A3CCAFE" w14:textId="6290719D" w:rsidTr="00C56709">
        <w:tc>
          <w:tcPr>
            <w:tcW w:w="524" w:type="dxa"/>
          </w:tcPr>
          <w:p w14:paraId="761303D4" w14:textId="77777777" w:rsidR="008661C0" w:rsidRPr="004870BB" w:rsidRDefault="008661C0" w:rsidP="00872BB2">
            <w:pPr>
              <w:numPr>
                <w:ilvl w:val="0"/>
                <w:numId w:val="2"/>
              </w:numPr>
              <w:spacing w:line="276" w:lineRule="auto"/>
              <w:rPr>
                <w:rFonts w:ascii="Arial" w:hAnsi="Arial" w:cs="Arial"/>
                <w:iCs/>
                <w:sz w:val="20"/>
                <w:szCs w:val="20"/>
              </w:rPr>
            </w:pPr>
          </w:p>
        </w:tc>
        <w:tc>
          <w:tcPr>
            <w:tcW w:w="2170" w:type="dxa"/>
          </w:tcPr>
          <w:p w14:paraId="5286D52D" w14:textId="19265717" w:rsidR="008661C0" w:rsidRPr="004870BB" w:rsidRDefault="00160D49" w:rsidP="00D14313">
            <w:pPr>
              <w:rPr>
                <w:rFonts w:ascii="Arial" w:hAnsi="Arial" w:cs="Arial"/>
                <w:iCs/>
                <w:sz w:val="20"/>
                <w:szCs w:val="20"/>
              </w:rPr>
            </w:pPr>
            <w:r>
              <w:rPr>
                <w:rFonts w:ascii="Arial" w:hAnsi="Arial" w:cs="Arial"/>
                <w:iCs/>
                <w:sz w:val="20"/>
                <w:szCs w:val="20"/>
              </w:rPr>
              <w:t>11.38(c)</w:t>
            </w:r>
          </w:p>
        </w:tc>
        <w:tc>
          <w:tcPr>
            <w:tcW w:w="3118" w:type="dxa"/>
          </w:tcPr>
          <w:p w14:paraId="19ACEE40" w14:textId="77777777" w:rsidR="008661C0" w:rsidRPr="004870BB" w:rsidDel="004E375D" w:rsidRDefault="008661C0" w:rsidP="00D14313">
            <w:pPr>
              <w:rPr>
                <w:rFonts w:ascii="Arial" w:hAnsi="Arial" w:cs="Arial"/>
                <w:iCs/>
                <w:sz w:val="20"/>
                <w:szCs w:val="20"/>
              </w:rPr>
            </w:pPr>
          </w:p>
        </w:tc>
        <w:tc>
          <w:tcPr>
            <w:tcW w:w="8080" w:type="dxa"/>
          </w:tcPr>
          <w:p w14:paraId="21BE9BB7" w14:textId="77777777" w:rsidR="008661C0" w:rsidRDefault="00AB7234" w:rsidP="00D14313">
            <w:pPr>
              <w:rPr>
                <w:rFonts w:ascii="Arial" w:hAnsi="Arial" w:cs="Arial"/>
                <w:iCs/>
                <w:sz w:val="20"/>
                <w:szCs w:val="20"/>
                <w:lang w:val="en-ZA"/>
              </w:rPr>
            </w:pPr>
            <w:r>
              <w:rPr>
                <w:rFonts w:ascii="Arial" w:hAnsi="Arial" w:cs="Arial"/>
                <w:iCs/>
                <w:sz w:val="20"/>
                <w:szCs w:val="20"/>
                <w:lang w:val="en-ZA"/>
              </w:rPr>
              <w:t>T</w:t>
            </w:r>
            <w:r w:rsidRPr="00AB7234">
              <w:rPr>
                <w:rFonts w:ascii="Arial" w:hAnsi="Arial" w:cs="Arial"/>
                <w:iCs/>
                <w:sz w:val="20"/>
                <w:szCs w:val="20"/>
                <w:lang w:val="en-ZA"/>
              </w:rPr>
              <w:t>he corporate governance information in 5.2 (capacity of directors) and 5.7(b) (brief CV), (d) (chief executive officer and chair), (e) (financial director), (f) (company secretary), (g) (board committees), (h) (audit committee), (i) (balance of power) and (j) (diversity at board level);</w:t>
            </w:r>
          </w:p>
          <w:p w14:paraId="4DA5AE70" w14:textId="77777777" w:rsidR="00F0505D" w:rsidRDefault="00F0505D" w:rsidP="00D14313">
            <w:pPr>
              <w:rPr>
                <w:rFonts w:ascii="Arial" w:hAnsi="Arial" w:cs="Arial"/>
                <w:iCs/>
                <w:sz w:val="20"/>
                <w:szCs w:val="20"/>
              </w:rPr>
            </w:pPr>
          </w:p>
          <w:p w14:paraId="0506F11A" w14:textId="4C937991" w:rsidR="00351BFF" w:rsidRPr="008C7895" w:rsidRDefault="00454F92" w:rsidP="00D14313">
            <w:pPr>
              <w:rPr>
                <w:rFonts w:ascii="Arial" w:hAnsi="Arial" w:cs="Arial"/>
                <w:iCs/>
                <w:color w:val="00B050"/>
                <w:sz w:val="20"/>
                <w:szCs w:val="20"/>
              </w:rPr>
            </w:pPr>
            <w:r w:rsidRPr="008C7895">
              <w:rPr>
                <w:rFonts w:ascii="Arial" w:hAnsi="Arial" w:cs="Arial"/>
                <w:iCs/>
                <w:color w:val="00B050"/>
                <w:sz w:val="20"/>
                <w:szCs w:val="20"/>
              </w:rPr>
              <w:t>A</w:t>
            </w:r>
            <w:r w:rsidR="00806F7D" w:rsidRPr="008C7895">
              <w:rPr>
                <w:rFonts w:ascii="Arial" w:hAnsi="Arial" w:cs="Arial"/>
                <w:iCs/>
                <w:color w:val="00B050"/>
                <w:sz w:val="20"/>
                <w:szCs w:val="20"/>
              </w:rPr>
              <w:t>ltX: 5.8(b)</w:t>
            </w:r>
          </w:p>
          <w:p w14:paraId="361FC1CA" w14:textId="30723421" w:rsidR="008B3117" w:rsidRPr="000C3536" w:rsidRDefault="008B3117" w:rsidP="00D14313">
            <w:pPr>
              <w:rPr>
                <w:rFonts w:ascii="Arial" w:hAnsi="Arial" w:cs="Arial"/>
                <w:iCs/>
                <w:color w:val="00B050"/>
                <w:sz w:val="20"/>
                <w:szCs w:val="20"/>
              </w:rPr>
            </w:pPr>
            <w:r w:rsidRPr="008C7895">
              <w:rPr>
                <w:rFonts w:ascii="Arial" w:hAnsi="Arial" w:cs="Arial"/>
                <w:iCs/>
                <w:color w:val="00B050"/>
                <w:sz w:val="20"/>
                <w:szCs w:val="20"/>
              </w:rPr>
              <w:t>SPAC</w:t>
            </w:r>
            <w:r w:rsidR="00A33F89" w:rsidRPr="008C7895">
              <w:rPr>
                <w:rFonts w:ascii="Arial" w:hAnsi="Arial" w:cs="Arial"/>
                <w:iCs/>
                <w:color w:val="00B050"/>
                <w:sz w:val="20"/>
                <w:szCs w:val="20"/>
              </w:rPr>
              <w:t xml:space="preserve">: </w:t>
            </w:r>
            <w:r w:rsidR="008C7895" w:rsidRPr="008C7895">
              <w:rPr>
                <w:rFonts w:ascii="Arial" w:hAnsi="Arial" w:cs="Arial"/>
                <w:iCs/>
                <w:color w:val="00B050"/>
                <w:sz w:val="20"/>
                <w:szCs w:val="20"/>
              </w:rPr>
              <w:t>15.20(a)</w:t>
            </w:r>
          </w:p>
          <w:p w14:paraId="5A637F7B" w14:textId="58D4D8D2" w:rsidR="00F0505D" w:rsidRPr="004870BB" w:rsidDel="004E375D" w:rsidRDefault="00F0505D" w:rsidP="00D14313">
            <w:pPr>
              <w:rPr>
                <w:rFonts w:ascii="Arial" w:hAnsi="Arial" w:cs="Arial"/>
                <w:iCs/>
                <w:sz w:val="20"/>
                <w:szCs w:val="20"/>
              </w:rPr>
            </w:pPr>
          </w:p>
        </w:tc>
      </w:tr>
      <w:tr w:rsidR="00763B2F" w:rsidRPr="004870BB" w:rsidDel="004E375D" w14:paraId="6DCBBE19" w14:textId="5EA300A0" w:rsidTr="00C56709">
        <w:tc>
          <w:tcPr>
            <w:tcW w:w="524" w:type="dxa"/>
          </w:tcPr>
          <w:p w14:paraId="29443F87" w14:textId="77777777" w:rsidR="008661C0" w:rsidRPr="004870BB" w:rsidRDefault="008661C0" w:rsidP="00872BB2">
            <w:pPr>
              <w:numPr>
                <w:ilvl w:val="0"/>
                <w:numId w:val="2"/>
              </w:numPr>
              <w:spacing w:line="276" w:lineRule="auto"/>
              <w:rPr>
                <w:rFonts w:ascii="Arial" w:hAnsi="Arial" w:cs="Arial"/>
                <w:iCs/>
                <w:sz w:val="20"/>
                <w:szCs w:val="20"/>
              </w:rPr>
            </w:pPr>
          </w:p>
        </w:tc>
        <w:tc>
          <w:tcPr>
            <w:tcW w:w="2170" w:type="dxa"/>
          </w:tcPr>
          <w:p w14:paraId="3A45DBEF" w14:textId="4AD22914" w:rsidR="008661C0" w:rsidRPr="004870BB" w:rsidRDefault="00160D49" w:rsidP="00D14313">
            <w:pPr>
              <w:rPr>
                <w:rFonts w:ascii="Arial" w:hAnsi="Arial" w:cs="Arial"/>
                <w:iCs/>
                <w:sz w:val="20"/>
                <w:szCs w:val="20"/>
              </w:rPr>
            </w:pPr>
            <w:r>
              <w:rPr>
                <w:rFonts w:ascii="Arial" w:hAnsi="Arial" w:cs="Arial"/>
                <w:iCs/>
                <w:sz w:val="20"/>
                <w:szCs w:val="20"/>
              </w:rPr>
              <w:t>11.38(d)</w:t>
            </w:r>
          </w:p>
        </w:tc>
        <w:tc>
          <w:tcPr>
            <w:tcW w:w="3118" w:type="dxa"/>
          </w:tcPr>
          <w:p w14:paraId="25133B04" w14:textId="77777777" w:rsidR="008661C0" w:rsidRPr="004870BB" w:rsidDel="004E375D" w:rsidRDefault="008661C0" w:rsidP="00D14313">
            <w:pPr>
              <w:rPr>
                <w:rFonts w:ascii="Arial" w:hAnsi="Arial" w:cs="Arial"/>
                <w:iCs/>
                <w:sz w:val="20"/>
                <w:szCs w:val="20"/>
              </w:rPr>
            </w:pPr>
          </w:p>
        </w:tc>
        <w:tc>
          <w:tcPr>
            <w:tcW w:w="8080" w:type="dxa"/>
          </w:tcPr>
          <w:p w14:paraId="2E5BD64A" w14:textId="06B3D6EC" w:rsidR="008661C0" w:rsidRPr="004870BB" w:rsidDel="004E375D" w:rsidRDefault="00A0420B" w:rsidP="00D14313">
            <w:pPr>
              <w:rPr>
                <w:rFonts w:ascii="Arial" w:hAnsi="Arial" w:cs="Arial"/>
                <w:iCs/>
                <w:sz w:val="20"/>
                <w:szCs w:val="20"/>
              </w:rPr>
            </w:pPr>
            <w:r>
              <w:rPr>
                <w:rFonts w:ascii="Arial" w:hAnsi="Arial" w:cs="Arial"/>
                <w:iCs/>
                <w:sz w:val="20"/>
                <w:szCs w:val="20"/>
                <w:lang w:val="en-ZA"/>
              </w:rPr>
              <w:t>A</w:t>
            </w:r>
            <w:r w:rsidR="00A74088" w:rsidRPr="00A74088">
              <w:rPr>
                <w:rFonts w:ascii="Arial" w:hAnsi="Arial" w:cs="Arial"/>
                <w:iCs/>
                <w:sz w:val="20"/>
                <w:szCs w:val="20"/>
                <w:lang w:val="en-ZA"/>
              </w:rPr>
              <w:t xml:space="preserve"> narrative dealing with compliance with the laws of establishment and the MOI of the issuer in terms of B.14 in Section 10</w:t>
            </w:r>
          </w:p>
        </w:tc>
      </w:tr>
      <w:tr w:rsidR="00763B2F" w:rsidRPr="004870BB" w:rsidDel="004E375D" w14:paraId="2F844D98" w14:textId="2A640DB6" w:rsidTr="00C56709">
        <w:tc>
          <w:tcPr>
            <w:tcW w:w="524" w:type="dxa"/>
          </w:tcPr>
          <w:p w14:paraId="3C48C762" w14:textId="77777777" w:rsidR="008661C0" w:rsidRPr="004870BB" w:rsidRDefault="008661C0" w:rsidP="00872BB2">
            <w:pPr>
              <w:numPr>
                <w:ilvl w:val="0"/>
                <w:numId w:val="2"/>
              </w:numPr>
              <w:spacing w:line="276" w:lineRule="auto"/>
              <w:rPr>
                <w:rFonts w:ascii="Arial" w:hAnsi="Arial" w:cs="Arial"/>
                <w:iCs/>
                <w:sz w:val="20"/>
                <w:szCs w:val="20"/>
              </w:rPr>
            </w:pPr>
          </w:p>
        </w:tc>
        <w:tc>
          <w:tcPr>
            <w:tcW w:w="2170" w:type="dxa"/>
          </w:tcPr>
          <w:p w14:paraId="4F15CFA5" w14:textId="483324C6" w:rsidR="008661C0" w:rsidRPr="004870BB" w:rsidRDefault="00160D49" w:rsidP="00D14313">
            <w:pPr>
              <w:rPr>
                <w:rFonts w:ascii="Arial" w:hAnsi="Arial" w:cs="Arial"/>
                <w:iCs/>
                <w:sz w:val="20"/>
                <w:szCs w:val="20"/>
              </w:rPr>
            </w:pPr>
            <w:r>
              <w:rPr>
                <w:rFonts w:ascii="Arial" w:hAnsi="Arial" w:cs="Arial"/>
                <w:iCs/>
                <w:sz w:val="20"/>
                <w:szCs w:val="20"/>
              </w:rPr>
              <w:t>11.38(e)</w:t>
            </w:r>
          </w:p>
        </w:tc>
        <w:tc>
          <w:tcPr>
            <w:tcW w:w="3118" w:type="dxa"/>
          </w:tcPr>
          <w:p w14:paraId="12CBCD01" w14:textId="77777777" w:rsidR="008661C0" w:rsidRPr="004870BB" w:rsidDel="004E375D" w:rsidRDefault="008661C0" w:rsidP="00D14313">
            <w:pPr>
              <w:rPr>
                <w:rFonts w:ascii="Arial" w:hAnsi="Arial" w:cs="Arial"/>
                <w:iCs/>
                <w:sz w:val="20"/>
                <w:szCs w:val="20"/>
              </w:rPr>
            </w:pPr>
          </w:p>
        </w:tc>
        <w:tc>
          <w:tcPr>
            <w:tcW w:w="8080" w:type="dxa"/>
          </w:tcPr>
          <w:p w14:paraId="5B6ED0CA" w14:textId="4EE36C11" w:rsidR="008661C0" w:rsidRPr="004870BB" w:rsidDel="004E375D" w:rsidRDefault="00A0420B" w:rsidP="00D14313">
            <w:pPr>
              <w:rPr>
                <w:rFonts w:ascii="Arial" w:hAnsi="Arial" w:cs="Arial"/>
                <w:iCs/>
                <w:sz w:val="20"/>
                <w:szCs w:val="20"/>
              </w:rPr>
            </w:pPr>
            <w:r>
              <w:rPr>
                <w:rFonts w:ascii="Arial" w:hAnsi="Arial" w:cs="Arial"/>
                <w:iCs/>
                <w:sz w:val="20"/>
                <w:szCs w:val="20"/>
                <w:lang w:val="en-ZA"/>
              </w:rPr>
              <w:t>M</w:t>
            </w:r>
            <w:r w:rsidR="00A74088" w:rsidRPr="00A74088">
              <w:rPr>
                <w:rFonts w:ascii="Arial" w:hAnsi="Arial" w:cs="Arial"/>
                <w:iCs/>
                <w:sz w:val="20"/>
                <w:szCs w:val="20"/>
                <w:lang w:val="en-ZA"/>
              </w:rPr>
              <w:t>aterial risks in terms of B.16 in Section 10, which may be incorporated via a weblink.</w:t>
            </w:r>
          </w:p>
        </w:tc>
      </w:tr>
      <w:tr w:rsidR="00763B2F" w:rsidRPr="004870BB" w:rsidDel="004E375D" w14:paraId="5FCAF835" w14:textId="1F47BA49" w:rsidTr="00C56709">
        <w:tc>
          <w:tcPr>
            <w:tcW w:w="524" w:type="dxa"/>
          </w:tcPr>
          <w:p w14:paraId="7DA627D2" w14:textId="77777777" w:rsidR="008661C0" w:rsidRPr="004870BB" w:rsidRDefault="008661C0" w:rsidP="00872BB2">
            <w:pPr>
              <w:numPr>
                <w:ilvl w:val="0"/>
                <w:numId w:val="2"/>
              </w:numPr>
              <w:spacing w:line="276" w:lineRule="auto"/>
              <w:rPr>
                <w:rFonts w:ascii="Arial" w:hAnsi="Arial" w:cs="Arial"/>
                <w:iCs/>
                <w:sz w:val="20"/>
                <w:szCs w:val="20"/>
              </w:rPr>
            </w:pPr>
          </w:p>
        </w:tc>
        <w:tc>
          <w:tcPr>
            <w:tcW w:w="2170" w:type="dxa"/>
          </w:tcPr>
          <w:p w14:paraId="6A52AC08" w14:textId="1771E81A" w:rsidR="008661C0" w:rsidRPr="004870BB" w:rsidRDefault="00160D49" w:rsidP="00D14313">
            <w:pPr>
              <w:rPr>
                <w:rFonts w:ascii="Arial" w:hAnsi="Arial" w:cs="Arial"/>
                <w:iCs/>
                <w:sz w:val="20"/>
                <w:szCs w:val="20"/>
              </w:rPr>
            </w:pPr>
            <w:r>
              <w:rPr>
                <w:rFonts w:ascii="Arial" w:hAnsi="Arial" w:cs="Arial"/>
                <w:iCs/>
                <w:sz w:val="20"/>
                <w:szCs w:val="20"/>
              </w:rPr>
              <w:t>11.38(f)</w:t>
            </w:r>
          </w:p>
        </w:tc>
        <w:tc>
          <w:tcPr>
            <w:tcW w:w="3118" w:type="dxa"/>
          </w:tcPr>
          <w:p w14:paraId="009E9BC8" w14:textId="77777777" w:rsidR="008661C0" w:rsidRPr="004870BB" w:rsidDel="004E375D" w:rsidRDefault="008661C0" w:rsidP="00D14313">
            <w:pPr>
              <w:rPr>
                <w:rFonts w:ascii="Arial" w:hAnsi="Arial" w:cs="Arial"/>
                <w:iCs/>
                <w:sz w:val="20"/>
                <w:szCs w:val="20"/>
              </w:rPr>
            </w:pPr>
          </w:p>
        </w:tc>
        <w:tc>
          <w:tcPr>
            <w:tcW w:w="8080" w:type="dxa"/>
          </w:tcPr>
          <w:p w14:paraId="1DC24E80" w14:textId="239FD91B" w:rsidR="008661C0" w:rsidRPr="004870BB" w:rsidDel="004E375D" w:rsidRDefault="00A0420B" w:rsidP="00D14313">
            <w:pPr>
              <w:rPr>
                <w:rFonts w:ascii="Arial" w:hAnsi="Arial" w:cs="Arial"/>
                <w:iCs/>
                <w:sz w:val="20"/>
                <w:szCs w:val="20"/>
              </w:rPr>
            </w:pPr>
            <w:r>
              <w:rPr>
                <w:rFonts w:ascii="Arial" w:hAnsi="Arial" w:cs="Arial"/>
                <w:iCs/>
                <w:sz w:val="20"/>
                <w:szCs w:val="20"/>
                <w:lang w:val="en-ZA"/>
              </w:rPr>
              <w:t>I</w:t>
            </w:r>
            <w:r w:rsidR="00382AE8" w:rsidRPr="00382AE8">
              <w:rPr>
                <w:rFonts w:ascii="Arial" w:hAnsi="Arial" w:cs="Arial"/>
                <w:iCs/>
                <w:sz w:val="20"/>
                <w:szCs w:val="20"/>
                <w:lang w:val="en-ZA"/>
              </w:rPr>
              <w:t>f the results for the period differ by 10% or more from any forecast/ estimate previously published by the issuer for its own results or in the case of a property entity results published in terms of 13.5(a), an explanation of the difference must be provided</w:t>
            </w:r>
          </w:p>
        </w:tc>
      </w:tr>
      <w:tr w:rsidR="001047ED" w:rsidRPr="004870BB" w:rsidDel="004E375D" w14:paraId="088431DD" w14:textId="77777777" w:rsidTr="00C90BDD">
        <w:tc>
          <w:tcPr>
            <w:tcW w:w="524" w:type="dxa"/>
            <w:shd w:val="clear" w:color="auto" w:fill="BFBFBF" w:themeFill="background1" w:themeFillShade="BF"/>
          </w:tcPr>
          <w:p w14:paraId="081F4870" w14:textId="77777777" w:rsidR="001047ED" w:rsidRPr="004870BB" w:rsidRDefault="001047ED" w:rsidP="001047ED">
            <w:pPr>
              <w:spacing w:line="276" w:lineRule="auto"/>
              <w:ind w:left="360"/>
              <w:rPr>
                <w:rFonts w:ascii="Arial" w:hAnsi="Arial" w:cs="Arial"/>
                <w:iCs/>
                <w:sz w:val="20"/>
                <w:szCs w:val="20"/>
              </w:rPr>
            </w:pPr>
          </w:p>
        </w:tc>
        <w:tc>
          <w:tcPr>
            <w:tcW w:w="2170" w:type="dxa"/>
            <w:shd w:val="clear" w:color="auto" w:fill="BFBFBF" w:themeFill="background1" w:themeFillShade="BF"/>
          </w:tcPr>
          <w:p w14:paraId="332AAA9C" w14:textId="4D5DC118" w:rsidR="001047ED" w:rsidRDefault="001047ED" w:rsidP="001047ED">
            <w:pPr>
              <w:rPr>
                <w:rFonts w:ascii="Arial" w:hAnsi="Arial" w:cs="Arial"/>
                <w:iCs/>
                <w:sz w:val="20"/>
                <w:szCs w:val="20"/>
              </w:rPr>
            </w:pPr>
            <w:r w:rsidRPr="004870BB">
              <w:rPr>
                <w:rFonts w:ascii="Arial" w:hAnsi="Arial" w:cs="Arial"/>
                <w:b/>
                <w:bCs/>
                <w:sz w:val="20"/>
                <w:szCs w:val="20"/>
              </w:rPr>
              <w:t>LR Ref</w:t>
            </w:r>
          </w:p>
        </w:tc>
        <w:tc>
          <w:tcPr>
            <w:tcW w:w="3118" w:type="dxa"/>
            <w:shd w:val="clear" w:color="auto" w:fill="BFBFBF" w:themeFill="background1" w:themeFillShade="BF"/>
          </w:tcPr>
          <w:p w14:paraId="06DFE5D0" w14:textId="20C59E3D" w:rsidR="001047ED" w:rsidRPr="004870BB" w:rsidDel="004E375D" w:rsidRDefault="001047ED" w:rsidP="001047ED">
            <w:pPr>
              <w:rPr>
                <w:rFonts w:ascii="Arial" w:hAnsi="Arial" w:cs="Arial"/>
                <w:iCs/>
                <w:sz w:val="20"/>
                <w:szCs w:val="20"/>
              </w:rPr>
            </w:pPr>
            <w:r w:rsidRPr="004870BB">
              <w:rPr>
                <w:rFonts w:ascii="Arial" w:hAnsi="Arial" w:cs="Arial"/>
                <w:b/>
                <w:bCs/>
                <w:sz w:val="20"/>
                <w:szCs w:val="20"/>
              </w:rPr>
              <w:t>Paragraph reference where this is addressed or reason why not addressed</w:t>
            </w:r>
          </w:p>
        </w:tc>
        <w:tc>
          <w:tcPr>
            <w:tcW w:w="8080" w:type="dxa"/>
            <w:shd w:val="clear" w:color="auto" w:fill="BFBFBF" w:themeFill="background1" w:themeFillShade="BF"/>
          </w:tcPr>
          <w:p w14:paraId="56800672" w14:textId="58543D43" w:rsidR="001047ED" w:rsidRDefault="001047ED" w:rsidP="001047ED">
            <w:pPr>
              <w:rPr>
                <w:rFonts w:ascii="Arial" w:hAnsi="Arial" w:cs="Arial"/>
                <w:iCs/>
                <w:sz w:val="20"/>
                <w:szCs w:val="20"/>
                <w:lang w:val="en-ZA"/>
              </w:rPr>
            </w:pPr>
            <w:r w:rsidRPr="004870BB">
              <w:rPr>
                <w:rFonts w:ascii="Arial" w:hAnsi="Arial" w:cs="Arial"/>
                <w:b/>
                <w:bCs/>
                <w:sz w:val="20"/>
                <w:szCs w:val="20"/>
              </w:rPr>
              <w:t xml:space="preserve">LR Extracts </w:t>
            </w:r>
          </w:p>
        </w:tc>
      </w:tr>
      <w:tr w:rsidR="00763B2F" w:rsidRPr="004870BB" w:rsidDel="004E375D" w14:paraId="7500BB83" w14:textId="50CEF3E2" w:rsidTr="00C56709">
        <w:tc>
          <w:tcPr>
            <w:tcW w:w="524" w:type="dxa"/>
          </w:tcPr>
          <w:p w14:paraId="5BD5F625" w14:textId="77777777" w:rsidR="008661C0" w:rsidRPr="004870BB" w:rsidRDefault="008661C0" w:rsidP="00872BB2">
            <w:pPr>
              <w:numPr>
                <w:ilvl w:val="0"/>
                <w:numId w:val="2"/>
              </w:numPr>
              <w:spacing w:line="276" w:lineRule="auto"/>
              <w:rPr>
                <w:rFonts w:ascii="Arial" w:hAnsi="Arial" w:cs="Arial"/>
                <w:iCs/>
                <w:sz w:val="20"/>
                <w:szCs w:val="20"/>
              </w:rPr>
            </w:pPr>
          </w:p>
        </w:tc>
        <w:tc>
          <w:tcPr>
            <w:tcW w:w="2170" w:type="dxa"/>
          </w:tcPr>
          <w:p w14:paraId="5DF81A58" w14:textId="77777777" w:rsidR="00F33365" w:rsidRDefault="00F33365" w:rsidP="00D14313">
            <w:pPr>
              <w:rPr>
                <w:rFonts w:ascii="Arial" w:hAnsi="Arial" w:cs="Arial"/>
                <w:iCs/>
                <w:sz w:val="20"/>
                <w:szCs w:val="20"/>
              </w:rPr>
            </w:pPr>
          </w:p>
          <w:p w14:paraId="2B1AB8AE" w14:textId="77777777" w:rsidR="00F33365" w:rsidRDefault="00F33365" w:rsidP="00D14313">
            <w:pPr>
              <w:rPr>
                <w:rFonts w:ascii="Arial" w:hAnsi="Arial" w:cs="Arial"/>
                <w:iCs/>
                <w:sz w:val="20"/>
                <w:szCs w:val="20"/>
              </w:rPr>
            </w:pPr>
          </w:p>
          <w:p w14:paraId="5BE0F342" w14:textId="77777777" w:rsidR="0012714A" w:rsidRDefault="0012714A" w:rsidP="00D14313">
            <w:pPr>
              <w:rPr>
                <w:rFonts w:ascii="Arial" w:hAnsi="Arial" w:cs="Arial"/>
                <w:iCs/>
                <w:sz w:val="20"/>
                <w:szCs w:val="20"/>
              </w:rPr>
            </w:pPr>
          </w:p>
          <w:p w14:paraId="5A3CECA9" w14:textId="77777777" w:rsidR="0012714A" w:rsidRDefault="0012714A" w:rsidP="00D14313">
            <w:pPr>
              <w:rPr>
                <w:rFonts w:ascii="Arial" w:hAnsi="Arial" w:cs="Arial"/>
                <w:iCs/>
                <w:sz w:val="20"/>
                <w:szCs w:val="20"/>
              </w:rPr>
            </w:pPr>
          </w:p>
          <w:p w14:paraId="0C909F01" w14:textId="77777777" w:rsidR="0012714A" w:rsidRDefault="0012714A" w:rsidP="00D14313">
            <w:pPr>
              <w:rPr>
                <w:rFonts w:ascii="Arial" w:hAnsi="Arial" w:cs="Arial"/>
                <w:iCs/>
                <w:sz w:val="20"/>
                <w:szCs w:val="20"/>
              </w:rPr>
            </w:pPr>
          </w:p>
          <w:p w14:paraId="1D3EFBB8" w14:textId="77777777" w:rsidR="00EF4606" w:rsidRDefault="00EF4606" w:rsidP="00D14313">
            <w:pPr>
              <w:rPr>
                <w:rFonts w:ascii="Arial" w:hAnsi="Arial" w:cs="Arial"/>
                <w:iCs/>
                <w:sz w:val="20"/>
                <w:szCs w:val="20"/>
              </w:rPr>
            </w:pPr>
          </w:p>
          <w:p w14:paraId="2F4DAC0A" w14:textId="77777777" w:rsidR="00EF4606" w:rsidRDefault="00EF4606" w:rsidP="00D14313">
            <w:pPr>
              <w:rPr>
                <w:rFonts w:ascii="Arial" w:hAnsi="Arial" w:cs="Arial"/>
                <w:iCs/>
                <w:sz w:val="20"/>
                <w:szCs w:val="20"/>
              </w:rPr>
            </w:pPr>
          </w:p>
          <w:p w14:paraId="1E896B66" w14:textId="144B7ED7" w:rsidR="003C6BFE" w:rsidRDefault="00160D49" w:rsidP="00D14313">
            <w:pPr>
              <w:rPr>
                <w:rFonts w:ascii="Arial" w:hAnsi="Arial" w:cs="Arial"/>
                <w:iCs/>
                <w:sz w:val="20"/>
                <w:szCs w:val="20"/>
              </w:rPr>
            </w:pPr>
            <w:r>
              <w:rPr>
                <w:rFonts w:ascii="Arial" w:hAnsi="Arial" w:cs="Arial"/>
                <w:iCs/>
                <w:sz w:val="20"/>
                <w:szCs w:val="20"/>
              </w:rPr>
              <w:t>11.38(g)</w:t>
            </w:r>
          </w:p>
          <w:p w14:paraId="77834E44" w14:textId="77777777" w:rsidR="00200D76" w:rsidRDefault="00200D76" w:rsidP="00D14313">
            <w:pPr>
              <w:rPr>
                <w:rFonts w:ascii="Arial" w:hAnsi="Arial" w:cs="Arial"/>
                <w:iCs/>
                <w:sz w:val="20"/>
                <w:szCs w:val="20"/>
              </w:rPr>
            </w:pPr>
          </w:p>
          <w:p w14:paraId="67C941E2" w14:textId="77777777" w:rsidR="000B373C" w:rsidRDefault="000B373C" w:rsidP="00D14313">
            <w:pPr>
              <w:rPr>
                <w:rFonts w:ascii="Arial" w:hAnsi="Arial" w:cs="Arial"/>
                <w:iCs/>
                <w:sz w:val="20"/>
                <w:szCs w:val="20"/>
              </w:rPr>
            </w:pPr>
          </w:p>
          <w:p w14:paraId="7A95EEE3" w14:textId="77777777" w:rsidR="003C6BFE" w:rsidRDefault="00A5519D" w:rsidP="00D14313">
            <w:pPr>
              <w:rPr>
                <w:rFonts w:ascii="Arial" w:hAnsi="Arial" w:cs="Arial"/>
                <w:iCs/>
                <w:sz w:val="20"/>
                <w:szCs w:val="20"/>
              </w:rPr>
            </w:pPr>
            <w:r>
              <w:rPr>
                <w:rFonts w:ascii="Arial" w:hAnsi="Arial" w:cs="Arial"/>
                <w:iCs/>
                <w:sz w:val="20"/>
                <w:szCs w:val="20"/>
              </w:rPr>
              <w:t>14.10</w:t>
            </w:r>
          </w:p>
          <w:p w14:paraId="7594A2A5" w14:textId="77777777" w:rsidR="00634DE3" w:rsidRDefault="00634DE3" w:rsidP="00D14313">
            <w:pPr>
              <w:rPr>
                <w:rFonts w:ascii="Arial" w:hAnsi="Arial" w:cs="Arial"/>
                <w:iCs/>
                <w:sz w:val="20"/>
                <w:szCs w:val="20"/>
              </w:rPr>
            </w:pPr>
          </w:p>
          <w:p w14:paraId="7B2C1292" w14:textId="77777777" w:rsidR="00634DE3" w:rsidRDefault="00634DE3" w:rsidP="00D14313">
            <w:pPr>
              <w:rPr>
                <w:rFonts w:ascii="Arial" w:hAnsi="Arial" w:cs="Arial"/>
                <w:iCs/>
                <w:sz w:val="20"/>
                <w:szCs w:val="20"/>
              </w:rPr>
            </w:pPr>
          </w:p>
          <w:p w14:paraId="1A582840" w14:textId="4F900A20" w:rsidR="00634DE3" w:rsidRDefault="00634DE3" w:rsidP="00D14313">
            <w:pPr>
              <w:rPr>
                <w:rFonts w:ascii="Arial" w:hAnsi="Arial" w:cs="Arial"/>
                <w:iCs/>
                <w:sz w:val="20"/>
                <w:szCs w:val="20"/>
              </w:rPr>
            </w:pPr>
            <w:r>
              <w:rPr>
                <w:rFonts w:ascii="Arial" w:hAnsi="Arial" w:cs="Arial"/>
                <w:iCs/>
                <w:sz w:val="20"/>
                <w:szCs w:val="20"/>
              </w:rPr>
              <w:t xml:space="preserve">14.10(a)(i) </w:t>
            </w:r>
            <w:r w:rsidR="00791D71">
              <w:rPr>
                <w:rFonts w:ascii="Arial" w:hAnsi="Arial" w:cs="Arial"/>
                <w:iCs/>
                <w:sz w:val="20"/>
                <w:szCs w:val="20"/>
              </w:rPr>
              <w:t>-</w:t>
            </w:r>
            <w:r>
              <w:rPr>
                <w:rFonts w:ascii="Arial" w:hAnsi="Arial" w:cs="Arial"/>
                <w:iCs/>
                <w:sz w:val="20"/>
                <w:szCs w:val="20"/>
              </w:rPr>
              <w:t xml:space="preserve"> (v)</w:t>
            </w:r>
          </w:p>
          <w:p w14:paraId="624CC994" w14:textId="77777777" w:rsidR="00832FB0" w:rsidRDefault="00832FB0" w:rsidP="00D14313">
            <w:pPr>
              <w:rPr>
                <w:rFonts w:ascii="Arial" w:hAnsi="Arial" w:cs="Arial"/>
                <w:iCs/>
                <w:sz w:val="20"/>
                <w:szCs w:val="20"/>
              </w:rPr>
            </w:pPr>
          </w:p>
          <w:p w14:paraId="03D4F719" w14:textId="77777777" w:rsidR="00832FB0" w:rsidRDefault="00832FB0" w:rsidP="00D14313">
            <w:pPr>
              <w:rPr>
                <w:rFonts w:ascii="Arial" w:hAnsi="Arial" w:cs="Arial"/>
                <w:iCs/>
                <w:sz w:val="20"/>
                <w:szCs w:val="20"/>
              </w:rPr>
            </w:pPr>
          </w:p>
          <w:p w14:paraId="68CBFF45" w14:textId="77777777" w:rsidR="00832FB0" w:rsidRDefault="00832FB0" w:rsidP="00D14313">
            <w:pPr>
              <w:rPr>
                <w:rFonts w:ascii="Arial" w:hAnsi="Arial" w:cs="Arial"/>
                <w:iCs/>
                <w:sz w:val="20"/>
                <w:szCs w:val="20"/>
              </w:rPr>
            </w:pPr>
          </w:p>
          <w:p w14:paraId="0D883F24" w14:textId="77777777" w:rsidR="00832FB0" w:rsidRDefault="00832FB0" w:rsidP="00D14313">
            <w:pPr>
              <w:rPr>
                <w:rFonts w:ascii="Arial" w:hAnsi="Arial" w:cs="Arial"/>
                <w:iCs/>
                <w:sz w:val="20"/>
                <w:szCs w:val="20"/>
              </w:rPr>
            </w:pPr>
          </w:p>
          <w:p w14:paraId="55B0600E" w14:textId="77777777" w:rsidR="00832FB0" w:rsidRDefault="00832FB0" w:rsidP="00D14313">
            <w:pPr>
              <w:rPr>
                <w:rFonts w:ascii="Arial" w:hAnsi="Arial" w:cs="Arial"/>
                <w:iCs/>
                <w:sz w:val="20"/>
                <w:szCs w:val="20"/>
              </w:rPr>
            </w:pPr>
          </w:p>
          <w:p w14:paraId="447B7011" w14:textId="77777777" w:rsidR="00832FB0" w:rsidRDefault="00832FB0" w:rsidP="00D14313">
            <w:pPr>
              <w:rPr>
                <w:rFonts w:ascii="Arial" w:hAnsi="Arial" w:cs="Arial"/>
                <w:iCs/>
                <w:sz w:val="20"/>
                <w:szCs w:val="20"/>
              </w:rPr>
            </w:pPr>
          </w:p>
          <w:p w14:paraId="2CA708AF" w14:textId="77777777" w:rsidR="00832FB0" w:rsidRDefault="00832FB0" w:rsidP="00D14313">
            <w:pPr>
              <w:rPr>
                <w:rFonts w:ascii="Arial" w:hAnsi="Arial" w:cs="Arial"/>
                <w:iCs/>
                <w:sz w:val="20"/>
                <w:szCs w:val="20"/>
              </w:rPr>
            </w:pPr>
          </w:p>
          <w:p w14:paraId="18935835" w14:textId="77777777" w:rsidR="00832FB0" w:rsidRDefault="00832FB0" w:rsidP="00D14313">
            <w:pPr>
              <w:rPr>
                <w:rFonts w:ascii="Arial" w:hAnsi="Arial" w:cs="Arial"/>
                <w:iCs/>
                <w:sz w:val="20"/>
                <w:szCs w:val="20"/>
              </w:rPr>
            </w:pPr>
          </w:p>
          <w:p w14:paraId="3DD68189" w14:textId="77777777" w:rsidR="00832FB0" w:rsidRDefault="00832FB0" w:rsidP="00D14313">
            <w:pPr>
              <w:rPr>
                <w:rFonts w:ascii="Arial" w:hAnsi="Arial" w:cs="Arial"/>
                <w:iCs/>
                <w:sz w:val="20"/>
                <w:szCs w:val="20"/>
              </w:rPr>
            </w:pPr>
          </w:p>
          <w:p w14:paraId="15DF6680" w14:textId="77777777" w:rsidR="00832FB0" w:rsidRDefault="00832FB0" w:rsidP="00D14313">
            <w:pPr>
              <w:rPr>
                <w:rFonts w:ascii="Arial" w:hAnsi="Arial" w:cs="Arial"/>
                <w:iCs/>
                <w:sz w:val="20"/>
                <w:szCs w:val="20"/>
              </w:rPr>
            </w:pPr>
          </w:p>
          <w:p w14:paraId="66D390A0" w14:textId="77777777" w:rsidR="00832FB0" w:rsidRDefault="00832FB0" w:rsidP="00D14313">
            <w:pPr>
              <w:rPr>
                <w:rFonts w:ascii="Arial" w:hAnsi="Arial" w:cs="Arial"/>
                <w:iCs/>
                <w:sz w:val="20"/>
                <w:szCs w:val="20"/>
              </w:rPr>
            </w:pPr>
          </w:p>
          <w:p w14:paraId="51DC8C84" w14:textId="77777777" w:rsidR="00832FB0" w:rsidRDefault="00832FB0" w:rsidP="00D14313">
            <w:pPr>
              <w:rPr>
                <w:rFonts w:ascii="Arial" w:hAnsi="Arial" w:cs="Arial"/>
                <w:iCs/>
                <w:sz w:val="20"/>
                <w:szCs w:val="20"/>
              </w:rPr>
            </w:pPr>
          </w:p>
          <w:p w14:paraId="5AFEAB97" w14:textId="77777777" w:rsidR="00832FB0" w:rsidRDefault="00832FB0" w:rsidP="00D14313">
            <w:pPr>
              <w:rPr>
                <w:rFonts w:ascii="Arial" w:hAnsi="Arial" w:cs="Arial"/>
                <w:iCs/>
                <w:sz w:val="20"/>
                <w:szCs w:val="20"/>
              </w:rPr>
            </w:pPr>
          </w:p>
          <w:p w14:paraId="47FDC074" w14:textId="77777777" w:rsidR="00832FB0" w:rsidRDefault="00832FB0" w:rsidP="00D14313">
            <w:pPr>
              <w:rPr>
                <w:rFonts w:ascii="Arial" w:hAnsi="Arial" w:cs="Arial"/>
                <w:iCs/>
                <w:sz w:val="20"/>
                <w:szCs w:val="20"/>
              </w:rPr>
            </w:pPr>
          </w:p>
          <w:p w14:paraId="10AC09AF" w14:textId="77777777" w:rsidR="00832FB0" w:rsidRDefault="00832FB0" w:rsidP="00D14313">
            <w:pPr>
              <w:rPr>
                <w:rFonts w:ascii="Arial" w:hAnsi="Arial" w:cs="Arial"/>
                <w:iCs/>
                <w:sz w:val="20"/>
                <w:szCs w:val="20"/>
              </w:rPr>
            </w:pPr>
          </w:p>
          <w:p w14:paraId="1171DEE1" w14:textId="77777777" w:rsidR="00832FB0" w:rsidRDefault="00832FB0" w:rsidP="00D14313">
            <w:pPr>
              <w:rPr>
                <w:rFonts w:ascii="Arial" w:hAnsi="Arial" w:cs="Arial"/>
                <w:iCs/>
                <w:sz w:val="20"/>
                <w:szCs w:val="20"/>
              </w:rPr>
            </w:pPr>
          </w:p>
          <w:p w14:paraId="44B0F630" w14:textId="77777777" w:rsidR="00832FB0" w:rsidRDefault="00832FB0" w:rsidP="00D14313">
            <w:pPr>
              <w:rPr>
                <w:rFonts w:ascii="Arial" w:hAnsi="Arial" w:cs="Arial"/>
                <w:iCs/>
                <w:sz w:val="20"/>
                <w:szCs w:val="20"/>
              </w:rPr>
            </w:pPr>
          </w:p>
          <w:p w14:paraId="78954553" w14:textId="77777777" w:rsidR="00832FB0" w:rsidRDefault="00791D71" w:rsidP="00D14313">
            <w:pPr>
              <w:rPr>
                <w:rFonts w:ascii="Arial" w:hAnsi="Arial" w:cs="Arial"/>
                <w:iCs/>
                <w:sz w:val="20"/>
                <w:szCs w:val="20"/>
              </w:rPr>
            </w:pPr>
            <w:r>
              <w:rPr>
                <w:rFonts w:ascii="Arial" w:hAnsi="Arial" w:cs="Arial"/>
                <w:iCs/>
                <w:sz w:val="20"/>
                <w:szCs w:val="20"/>
              </w:rPr>
              <w:t>14.10(b)(i) – (ii)</w:t>
            </w:r>
          </w:p>
          <w:p w14:paraId="1295BA6B" w14:textId="77777777" w:rsidR="00D940B1" w:rsidRDefault="00D940B1" w:rsidP="00D14313">
            <w:pPr>
              <w:rPr>
                <w:rFonts w:ascii="Arial" w:hAnsi="Arial" w:cs="Arial"/>
                <w:iCs/>
                <w:sz w:val="20"/>
                <w:szCs w:val="20"/>
              </w:rPr>
            </w:pPr>
          </w:p>
          <w:p w14:paraId="1FC0E49A" w14:textId="77777777" w:rsidR="00D940B1" w:rsidRDefault="00D940B1" w:rsidP="00D14313">
            <w:pPr>
              <w:rPr>
                <w:rFonts w:ascii="Arial" w:hAnsi="Arial" w:cs="Arial"/>
                <w:iCs/>
                <w:sz w:val="20"/>
                <w:szCs w:val="20"/>
              </w:rPr>
            </w:pPr>
          </w:p>
          <w:p w14:paraId="3C1C50FF" w14:textId="77777777" w:rsidR="00D940B1" w:rsidRDefault="00D940B1" w:rsidP="00D14313">
            <w:pPr>
              <w:rPr>
                <w:rFonts w:ascii="Arial" w:hAnsi="Arial" w:cs="Arial"/>
                <w:iCs/>
                <w:sz w:val="20"/>
                <w:szCs w:val="20"/>
              </w:rPr>
            </w:pPr>
          </w:p>
          <w:p w14:paraId="5C25852B" w14:textId="77777777" w:rsidR="00D940B1" w:rsidRDefault="00D940B1" w:rsidP="00D14313">
            <w:pPr>
              <w:rPr>
                <w:rFonts w:ascii="Arial" w:hAnsi="Arial" w:cs="Arial"/>
                <w:iCs/>
                <w:sz w:val="20"/>
                <w:szCs w:val="20"/>
              </w:rPr>
            </w:pPr>
          </w:p>
          <w:p w14:paraId="1A141271" w14:textId="77777777" w:rsidR="008F53F2" w:rsidRDefault="008F53F2" w:rsidP="00D14313">
            <w:pPr>
              <w:rPr>
                <w:rFonts w:ascii="Arial" w:hAnsi="Arial" w:cs="Arial"/>
                <w:iCs/>
                <w:sz w:val="20"/>
                <w:szCs w:val="20"/>
              </w:rPr>
            </w:pPr>
          </w:p>
          <w:p w14:paraId="134AD0BC" w14:textId="77777777" w:rsidR="00D940B1" w:rsidRDefault="00D940B1" w:rsidP="00D14313">
            <w:pPr>
              <w:rPr>
                <w:rFonts w:ascii="Arial" w:hAnsi="Arial" w:cs="Arial"/>
                <w:iCs/>
                <w:sz w:val="20"/>
                <w:szCs w:val="20"/>
              </w:rPr>
            </w:pPr>
            <w:r>
              <w:rPr>
                <w:rFonts w:ascii="Arial" w:hAnsi="Arial" w:cs="Arial"/>
                <w:iCs/>
                <w:sz w:val="20"/>
                <w:szCs w:val="20"/>
              </w:rPr>
              <w:t>14.10(c)(i)</w:t>
            </w:r>
            <w:r w:rsidR="008F53F2">
              <w:rPr>
                <w:rFonts w:ascii="Arial" w:hAnsi="Arial" w:cs="Arial"/>
                <w:iCs/>
                <w:sz w:val="20"/>
                <w:szCs w:val="20"/>
              </w:rPr>
              <w:t>-(xiii)</w:t>
            </w:r>
          </w:p>
          <w:p w14:paraId="1F2525AB" w14:textId="77777777" w:rsidR="008F53F2" w:rsidRDefault="008F53F2" w:rsidP="00D14313">
            <w:pPr>
              <w:rPr>
                <w:rFonts w:ascii="Arial" w:hAnsi="Arial" w:cs="Arial"/>
                <w:iCs/>
                <w:sz w:val="20"/>
                <w:szCs w:val="20"/>
              </w:rPr>
            </w:pPr>
          </w:p>
          <w:p w14:paraId="25BA1DCA" w14:textId="77777777" w:rsidR="008F53F2" w:rsidRDefault="008F53F2" w:rsidP="00D14313">
            <w:pPr>
              <w:rPr>
                <w:rFonts w:ascii="Arial" w:hAnsi="Arial" w:cs="Arial"/>
                <w:iCs/>
                <w:sz w:val="20"/>
                <w:szCs w:val="20"/>
              </w:rPr>
            </w:pPr>
          </w:p>
          <w:p w14:paraId="05099C40" w14:textId="77777777" w:rsidR="008F53F2" w:rsidRDefault="008F53F2" w:rsidP="00D14313">
            <w:pPr>
              <w:rPr>
                <w:rFonts w:ascii="Arial" w:hAnsi="Arial" w:cs="Arial"/>
                <w:iCs/>
                <w:sz w:val="20"/>
                <w:szCs w:val="20"/>
              </w:rPr>
            </w:pPr>
          </w:p>
          <w:p w14:paraId="343F74DC" w14:textId="77777777" w:rsidR="008F53F2" w:rsidRDefault="008F53F2" w:rsidP="00D14313">
            <w:pPr>
              <w:rPr>
                <w:rFonts w:ascii="Arial" w:hAnsi="Arial" w:cs="Arial"/>
                <w:iCs/>
                <w:sz w:val="20"/>
                <w:szCs w:val="20"/>
              </w:rPr>
            </w:pPr>
          </w:p>
          <w:p w14:paraId="32B84699" w14:textId="77777777" w:rsidR="008F53F2" w:rsidRDefault="008F53F2" w:rsidP="00D14313">
            <w:pPr>
              <w:rPr>
                <w:rFonts w:ascii="Arial" w:hAnsi="Arial" w:cs="Arial"/>
                <w:iCs/>
                <w:sz w:val="20"/>
                <w:szCs w:val="20"/>
              </w:rPr>
            </w:pPr>
          </w:p>
          <w:p w14:paraId="5E79539D" w14:textId="77777777" w:rsidR="008F53F2" w:rsidRDefault="008F53F2" w:rsidP="00D14313">
            <w:pPr>
              <w:rPr>
                <w:rFonts w:ascii="Arial" w:hAnsi="Arial" w:cs="Arial"/>
                <w:iCs/>
                <w:sz w:val="20"/>
                <w:szCs w:val="20"/>
              </w:rPr>
            </w:pPr>
          </w:p>
          <w:p w14:paraId="0D33AB43" w14:textId="77777777" w:rsidR="008F53F2" w:rsidRDefault="008F53F2" w:rsidP="00D14313">
            <w:pPr>
              <w:rPr>
                <w:rFonts w:ascii="Arial" w:hAnsi="Arial" w:cs="Arial"/>
                <w:iCs/>
                <w:sz w:val="20"/>
                <w:szCs w:val="20"/>
              </w:rPr>
            </w:pPr>
          </w:p>
          <w:p w14:paraId="6AD70963" w14:textId="77777777" w:rsidR="008F53F2" w:rsidRDefault="008F53F2" w:rsidP="00D14313">
            <w:pPr>
              <w:rPr>
                <w:rFonts w:ascii="Arial" w:hAnsi="Arial" w:cs="Arial"/>
                <w:iCs/>
                <w:sz w:val="20"/>
                <w:szCs w:val="20"/>
              </w:rPr>
            </w:pPr>
          </w:p>
          <w:p w14:paraId="7077DD7D" w14:textId="77777777" w:rsidR="008F53F2" w:rsidRDefault="008F53F2" w:rsidP="00D14313">
            <w:pPr>
              <w:rPr>
                <w:rFonts w:ascii="Arial" w:hAnsi="Arial" w:cs="Arial"/>
                <w:iCs/>
                <w:sz w:val="20"/>
                <w:szCs w:val="20"/>
              </w:rPr>
            </w:pPr>
          </w:p>
          <w:p w14:paraId="574BD3E4" w14:textId="77777777" w:rsidR="008F53F2" w:rsidRDefault="008F53F2" w:rsidP="00D14313">
            <w:pPr>
              <w:rPr>
                <w:rFonts w:ascii="Arial" w:hAnsi="Arial" w:cs="Arial"/>
                <w:iCs/>
                <w:sz w:val="20"/>
                <w:szCs w:val="20"/>
              </w:rPr>
            </w:pPr>
          </w:p>
          <w:p w14:paraId="6B390D3A" w14:textId="77777777" w:rsidR="008F53F2" w:rsidRDefault="008F53F2" w:rsidP="00D14313">
            <w:pPr>
              <w:rPr>
                <w:rFonts w:ascii="Arial" w:hAnsi="Arial" w:cs="Arial"/>
                <w:iCs/>
                <w:sz w:val="20"/>
                <w:szCs w:val="20"/>
              </w:rPr>
            </w:pPr>
          </w:p>
          <w:p w14:paraId="287555B4" w14:textId="77777777" w:rsidR="008F53F2" w:rsidRDefault="008F53F2" w:rsidP="00D14313">
            <w:pPr>
              <w:rPr>
                <w:rFonts w:ascii="Arial" w:hAnsi="Arial" w:cs="Arial"/>
                <w:iCs/>
                <w:sz w:val="20"/>
                <w:szCs w:val="20"/>
              </w:rPr>
            </w:pPr>
          </w:p>
          <w:p w14:paraId="2D3C5596" w14:textId="77777777" w:rsidR="008F53F2" w:rsidRDefault="008F53F2" w:rsidP="00D14313">
            <w:pPr>
              <w:rPr>
                <w:rFonts w:ascii="Arial" w:hAnsi="Arial" w:cs="Arial"/>
                <w:iCs/>
                <w:sz w:val="20"/>
                <w:szCs w:val="20"/>
              </w:rPr>
            </w:pPr>
          </w:p>
          <w:p w14:paraId="2D4AC94A" w14:textId="77777777" w:rsidR="008F53F2" w:rsidRDefault="008F53F2" w:rsidP="00D14313">
            <w:pPr>
              <w:rPr>
                <w:rFonts w:ascii="Arial" w:hAnsi="Arial" w:cs="Arial"/>
                <w:iCs/>
                <w:sz w:val="20"/>
                <w:szCs w:val="20"/>
              </w:rPr>
            </w:pPr>
          </w:p>
          <w:p w14:paraId="39F435C8" w14:textId="77777777" w:rsidR="008F53F2" w:rsidRDefault="008F53F2" w:rsidP="00D14313">
            <w:pPr>
              <w:rPr>
                <w:rFonts w:ascii="Arial" w:hAnsi="Arial" w:cs="Arial"/>
                <w:iCs/>
                <w:sz w:val="20"/>
                <w:szCs w:val="20"/>
              </w:rPr>
            </w:pPr>
          </w:p>
          <w:p w14:paraId="2A880E85" w14:textId="77777777" w:rsidR="008F53F2" w:rsidRDefault="008F53F2" w:rsidP="00D14313">
            <w:pPr>
              <w:rPr>
                <w:rFonts w:ascii="Arial" w:hAnsi="Arial" w:cs="Arial"/>
                <w:iCs/>
                <w:sz w:val="20"/>
                <w:szCs w:val="20"/>
              </w:rPr>
            </w:pPr>
          </w:p>
          <w:p w14:paraId="193C9F97" w14:textId="77777777" w:rsidR="008F53F2" w:rsidRDefault="008F53F2" w:rsidP="00D14313">
            <w:pPr>
              <w:rPr>
                <w:rFonts w:ascii="Arial" w:hAnsi="Arial" w:cs="Arial"/>
                <w:iCs/>
                <w:sz w:val="20"/>
                <w:szCs w:val="20"/>
              </w:rPr>
            </w:pPr>
          </w:p>
          <w:p w14:paraId="6A79917E" w14:textId="77777777" w:rsidR="008F53F2" w:rsidRDefault="008F53F2" w:rsidP="00D14313">
            <w:pPr>
              <w:rPr>
                <w:rFonts w:ascii="Arial" w:hAnsi="Arial" w:cs="Arial"/>
                <w:iCs/>
                <w:sz w:val="20"/>
                <w:szCs w:val="20"/>
              </w:rPr>
            </w:pPr>
          </w:p>
          <w:p w14:paraId="39B85DFA" w14:textId="77777777" w:rsidR="008F53F2" w:rsidRDefault="008F53F2" w:rsidP="00D14313">
            <w:pPr>
              <w:rPr>
                <w:rFonts w:ascii="Arial" w:hAnsi="Arial" w:cs="Arial"/>
                <w:iCs/>
                <w:sz w:val="20"/>
                <w:szCs w:val="20"/>
              </w:rPr>
            </w:pPr>
          </w:p>
          <w:p w14:paraId="432D974B" w14:textId="77777777" w:rsidR="008F53F2" w:rsidRDefault="008F53F2" w:rsidP="00D14313">
            <w:pPr>
              <w:rPr>
                <w:rFonts w:ascii="Arial" w:hAnsi="Arial" w:cs="Arial"/>
                <w:iCs/>
                <w:sz w:val="20"/>
                <w:szCs w:val="20"/>
              </w:rPr>
            </w:pPr>
          </w:p>
          <w:p w14:paraId="1807F614" w14:textId="77777777" w:rsidR="008F53F2" w:rsidRDefault="008F53F2" w:rsidP="00D14313">
            <w:pPr>
              <w:rPr>
                <w:rFonts w:ascii="Arial" w:hAnsi="Arial" w:cs="Arial"/>
                <w:iCs/>
                <w:sz w:val="20"/>
                <w:szCs w:val="20"/>
              </w:rPr>
            </w:pPr>
          </w:p>
          <w:p w14:paraId="0F54C19C" w14:textId="77777777" w:rsidR="008F53F2" w:rsidRDefault="008F53F2" w:rsidP="00D14313">
            <w:pPr>
              <w:rPr>
                <w:rFonts w:ascii="Arial" w:hAnsi="Arial" w:cs="Arial"/>
                <w:iCs/>
                <w:sz w:val="20"/>
                <w:szCs w:val="20"/>
              </w:rPr>
            </w:pPr>
          </w:p>
          <w:p w14:paraId="6E08C6A5" w14:textId="77777777" w:rsidR="008F53F2" w:rsidRDefault="008F53F2" w:rsidP="00D14313">
            <w:pPr>
              <w:rPr>
                <w:rFonts w:ascii="Arial" w:hAnsi="Arial" w:cs="Arial"/>
                <w:iCs/>
                <w:sz w:val="20"/>
                <w:szCs w:val="20"/>
              </w:rPr>
            </w:pPr>
          </w:p>
          <w:p w14:paraId="2971B0D4" w14:textId="77777777" w:rsidR="008F53F2" w:rsidRDefault="008F53F2" w:rsidP="00D14313">
            <w:pPr>
              <w:rPr>
                <w:rFonts w:ascii="Arial" w:hAnsi="Arial" w:cs="Arial"/>
                <w:iCs/>
                <w:sz w:val="20"/>
                <w:szCs w:val="20"/>
              </w:rPr>
            </w:pPr>
          </w:p>
          <w:p w14:paraId="621BA3F6" w14:textId="77777777" w:rsidR="008F53F2" w:rsidRDefault="008F53F2" w:rsidP="00D14313">
            <w:pPr>
              <w:rPr>
                <w:rFonts w:ascii="Arial" w:hAnsi="Arial" w:cs="Arial"/>
                <w:iCs/>
                <w:sz w:val="20"/>
                <w:szCs w:val="20"/>
              </w:rPr>
            </w:pPr>
          </w:p>
          <w:p w14:paraId="6E8B1D0C" w14:textId="77777777" w:rsidR="008F53F2" w:rsidRDefault="008F53F2" w:rsidP="00D14313">
            <w:pPr>
              <w:rPr>
                <w:rFonts w:ascii="Arial" w:hAnsi="Arial" w:cs="Arial"/>
                <w:iCs/>
                <w:sz w:val="20"/>
                <w:szCs w:val="20"/>
              </w:rPr>
            </w:pPr>
          </w:p>
          <w:p w14:paraId="40205884" w14:textId="77777777" w:rsidR="008F53F2" w:rsidRDefault="008F53F2" w:rsidP="00D14313">
            <w:pPr>
              <w:rPr>
                <w:rFonts w:ascii="Arial" w:hAnsi="Arial" w:cs="Arial"/>
                <w:iCs/>
                <w:sz w:val="20"/>
                <w:szCs w:val="20"/>
              </w:rPr>
            </w:pPr>
          </w:p>
          <w:p w14:paraId="310969C1" w14:textId="77777777" w:rsidR="008F53F2" w:rsidRDefault="008F53F2" w:rsidP="00D14313">
            <w:pPr>
              <w:rPr>
                <w:rFonts w:ascii="Arial" w:hAnsi="Arial" w:cs="Arial"/>
                <w:iCs/>
                <w:sz w:val="20"/>
                <w:szCs w:val="20"/>
              </w:rPr>
            </w:pPr>
          </w:p>
          <w:p w14:paraId="7550D226" w14:textId="303A686B" w:rsidR="008F53F2" w:rsidRDefault="008F53F2" w:rsidP="00D14313">
            <w:pPr>
              <w:rPr>
                <w:rFonts w:ascii="Arial" w:hAnsi="Arial" w:cs="Arial"/>
                <w:iCs/>
                <w:sz w:val="20"/>
                <w:szCs w:val="20"/>
              </w:rPr>
            </w:pPr>
            <w:r>
              <w:rPr>
                <w:rFonts w:ascii="Arial" w:hAnsi="Arial" w:cs="Arial"/>
                <w:iCs/>
                <w:sz w:val="20"/>
                <w:szCs w:val="20"/>
              </w:rPr>
              <w:t>14.10(d)(i)</w:t>
            </w:r>
            <w:r w:rsidR="0073419C">
              <w:rPr>
                <w:rFonts w:ascii="Arial" w:hAnsi="Arial" w:cs="Arial"/>
                <w:iCs/>
                <w:sz w:val="20"/>
                <w:szCs w:val="20"/>
              </w:rPr>
              <w:t xml:space="preserve"> – (iv)(aa) </w:t>
            </w:r>
            <w:r w:rsidR="00C42C1E">
              <w:rPr>
                <w:rFonts w:ascii="Arial" w:hAnsi="Arial" w:cs="Arial"/>
                <w:iCs/>
                <w:sz w:val="20"/>
                <w:szCs w:val="20"/>
              </w:rPr>
              <w:t>–</w:t>
            </w:r>
            <w:r w:rsidR="0073419C">
              <w:rPr>
                <w:rFonts w:ascii="Arial" w:hAnsi="Arial" w:cs="Arial"/>
                <w:iCs/>
                <w:sz w:val="20"/>
                <w:szCs w:val="20"/>
              </w:rPr>
              <w:t xml:space="preserve"> </w:t>
            </w:r>
            <w:r w:rsidR="00C42C1E">
              <w:rPr>
                <w:rFonts w:ascii="Arial" w:hAnsi="Arial" w:cs="Arial"/>
                <w:iCs/>
                <w:sz w:val="20"/>
                <w:szCs w:val="20"/>
              </w:rPr>
              <w:t>(hh)</w:t>
            </w:r>
          </w:p>
          <w:p w14:paraId="48178039" w14:textId="77777777" w:rsidR="0073419C" w:rsidRDefault="0073419C" w:rsidP="00D14313">
            <w:pPr>
              <w:rPr>
                <w:rFonts w:ascii="Arial" w:hAnsi="Arial" w:cs="Arial"/>
                <w:iCs/>
                <w:sz w:val="20"/>
                <w:szCs w:val="20"/>
              </w:rPr>
            </w:pPr>
          </w:p>
          <w:p w14:paraId="11624FAA" w14:textId="77777777" w:rsidR="0073419C" w:rsidRDefault="0073419C" w:rsidP="00D14313">
            <w:pPr>
              <w:rPr>
                <w:rFonts w:ascii="Arial" w:hAnsi="Arial" w:cs="Arial"/>
                <w:iCs/>
                <w:sz w:val="20"/>
                <w:szCs w:val="20"/>
              </w:rPr>
            </w:pPr>
          </w:p>
          <w:p w14:paraId="51586A9C" w14:textId="77777777" w:rsidR="0073419C" w:rsidRDefault="0073419C" w:rsidP="00D14313">
            <w:pPr>
              <w:rPr>
                <w:rFonts w:ascii="Arial" w:hAnsi="Arial" w:cs="Arial"/>
                <w:iCs/>
                <w:sz w:val="20"/>
                <w:szCs w:val="20"/>
              </w:rPr>
            </w:pPr>
          </w:p>
          <w:p w14:paraId="14B7C690" w14:textId="77777777" w:rsidR="0073419C" w:rsidRDefault="0073419C" w:rsidP="00D14313">
            <w:pPr>
              <w:rPr>
                <w:rFonts w:ascii="Arial" w:hAnsi="Arial" w:cs="Arial"/>
                <w:iCs/>
                <w:sz w:val="20"/>
                <w:szCs w:val="20"/>
              </w:rPr>
            </w:pPr>
          </w:p>
          <w:p w14:paraId="3B5618E3" w14:textId="77777777" w:rsidR="0073419C" w:rsidRDefault="0073419C" w:rsidP="00D14313">
            <w:pPr>
              <w:rPr>
                <w:rFonts w:ascii="Arial" w:hAnsi="Arial" w:cs="Arial"/>
                <w:iCs/>
                <w:sz w:val="20"/>
                <w:szCs w:val="20"/>
              </w:rPr>
            </w:pPr>
          </w:p>
          <w:p w14:paraId="7EF69969" w14:textId="77777777" w:rsidR="0073419C" w:rsidRDefault="0073419C" w:rsidP="00D14313">
            <w:pPr>
              <w:rPr>
                <w:rFonts w:ascii="Arial" w:hAnsi="Arial" w:cs="Arial"/>
                <w:iCs/>
                <w:sz w:val="20"/>
                <w:szCs w:val="20"/>
              </w:rPr>
            </w:pPr>
          </w:p>
          <w:p w14:paraId="1B36F56A" w14:textId="77777777" w:rsidR="0073419C" w:rsidRDefault="0073419C" w:rsidP="00D14313">
            <w:pPr>
              <w:rPr>
                <w:rFonts w:ascii="Arial" w:hAnsi="Arial" w:cs="Arial"/>
                <w:iCs/>
                <w:sz w:val="20"/>
                <w:szCs w:val="20"/>
              </w:rPr>
            </w:pPr>
          </w:p>
          <w:p w14:paraId="6EDF7189" w14:textId="77777777" w:rsidR="0073419C" w:rsidRDefault="0073419C" w:rsidP="00D14313">
            <w:pPr>
              <w:rPr>
                <w:rFonts w:ascii="Arial" w:hAnsi="Arial" w:cs="Arial"/>
                <w:iCs/>
                <w:sz w:val="20"/>
                <w:szCs w:val="20"/>
              </w:rPr>
            </w:pPr>
          </w:p>
          <w:p w14:paraId="40EE214F" w14:textId="77777777" w:rsidR="0073419C" w:rsidRDefault="0073419C" w:rsidP="00D14313">
            <w:pPr>
              <w:rPr>
                <w:rFonts w:ascii="Arial" w:hAnsi="Arial" w:cs="Arial"/>
                <w:iCs/>
                <w:sz w:val="20"/>
                <w:szCs w:val="20"/>
              </w:rPr>
            </w:pPr>
          </w:p>
          <w:p w14:paraId="046C05DF" w14:textId="77777777" w:rsidR="0073419C" w:rsidRDefault="0073419C" w:rsidP="00D14313">
            <w:pPr>
              <w:rPr>
                <w:rFonts w:ascii="Arial" w:hAnsi="Arial" w:cs="Arial"/>
                <w:iCs/>
                <w:sz w:val="20"/>
                <w:szCs w:val="20"/>
              </w:rPr>
            </w:pPr>
          </w:p>
          <w:p w14:paraId="29C8ECD2" w14:textId="77777777" w:rsidR="008F53F2" w:rsidRDefault="008F53F2" w:rsidP="00D14313">
            <w:pPr>
              <w:rPr>
                <w:rFonts w:ascii="Arial" w:hAnsi="Arial" w:cs="Arial"/>
                <w:iCs/>
                <w:sz w:val="20"/>
                <w:szCs w:val="20"/>
              </w:rPr>
            </w:pPr>
          </w:p>
          <w:p w14:paraId="464985B0" w14:textId="77777777" w:rsidR="008F53F2" w:rsidRDefault="008F53F2" w:rsidP="00D14313">
            <w:pPr>
              <w:rPr>
                <w:rFonts w:ascii="Arial" w:hAnsi="Arial" w:cs="Arial"/>
                <w:iCs/>
                <w:sz w:val="20"/>
                <w:szCs w:val="20"/>
              </w:rPr>
            </w:pPr>
          </w:p>
          <w:p w14:paraId="7CAB2762" w14:textId="77777777" w:rsidR="008F53F2" w:rsidRDefault="008F53F2" w:rsidP="00D14313">
            <w:pPr>
              <w:rPr>
                <w:rFonts w:ascii="Arial" w:hAnsi="Arial" w:cs="Arial"/>
                <w:iCs/>
                <w:sz w:val="20"/>
                <w:szCs w:val="20"/>
              </w:rPr>
            </w:pPr>
          </w:p>
          <w:p w14:paraId="685AF767" w14:textId="77777777" w:rsidR="008F53F2" w:rsidRDefault="008F53F2" w:rsidP="00D14313">
            <w:pPr>
              <w:rPr>
                <w:rFonts w:ascii="Arial" w:hAnsi="Arial" w:cs="Arial"/>
                <w:iCs/>
                <w:sz w:val="20"/>
                <w:szCs w:val="20"/>
              </w:rPr>
            </w:pPr>
          </w:p>
          <w:p w14:paraId="0DC2870D" w14:textId="77777777" w:rsidR="008F53F2" w:rsidRDefault="008F53F2" w:rsidP="00D14313">
            <w:pPr>
              <w:rPr>
                <w:rFonts w:ascii="Arial" w:hAnsi="Arial" w:cs="Arial"/>
                <w:iCs/>
                <w:sz w:val="20"/>
                <w:szCs w:val="20"/>
              </w:rPr>
            </w:pPr>
          </w:p>
          <w:p w14:paraId="3E863950" w14:textId="77777777" w:rsidR="008F53F2" w:rsidRDefault="008F53F2" w:rsidP="00D14313">
            <w:pPr>
              <w:rPr>
                <w:rFonts w:ascii="Arial" w:hAnsi="Arial" w:cs="Arial"/>
                <w:iCs/>
                <w:sz w:val="20"/>
                <w:szCs w:val="20"/>
              </w:rPr>
            </w:pPr>
          </w:p>
          <w:p w14:paraId="3A50DF4E" w14:textId="1BF17B4E" w:rsidR="008F53F2" w:rsidRPr="004870BB" w:rsidRDefault="008F53F2" w:rsidP="00D14313">
            <w:pPr>
              <w:rPr>
                <w:rFonts w:ascii="Arial" w:hAnsi="Arial" w:cs="Arial"/>
                <w:iCs/>
                <w:sz w:val="20"/>
                <w:szCs w:val="20"/>
              </w:rPr>
            </w:pPr>
          </w:p>
        </w:tc>
        <w:tc>
          <w:tcPr>
            <w:tcW w:w="3118" w:type="dxa"/>
          </w:tcPr>
          <w:p w14:paraId="4B938276" w14:textId="77777777" w:rsidR="008661C0" w:rsidRPr="004870BB" w:rsidDel="004E375D" w:rsidRDefault="008661C0" w:rsidP="00D14313">
            <w:pPr>
              <w:rPr>
                <w:rFonts w:ascii="Arial" w:hAnsi="Arial" w:cs="Arial"/>
                <w:iCs/>
                <w:sz w:val="20"/>
                <w:szCs w:val="20"/>
              </w:rPr>
            </w:pPr>
          </w:p>
        </w:tc>
        <w:tc>
          <w:tcPr>
            <w:tcW w:w="8080" w:type="dxa"/>
          </w:tcPr>
          <w:p w14:paraId="09D0D487" w14:textId="77777777" w:rsidR="003643F3" w:rsidRDefault="00E376C9" w:rsidP="003643F3">
            <w:pPr>
              <w:rPr>
                <w:rFonts w:ascii="Arial" w:hAnsi="Arial" w:cs="Arial"/>
                <w:iCs/>
                <w:sz w:val="20"/>
                <w:szCs w:val="20"/>
              </w:rPr>
            </w:pPr>
            <w:r w:rsidRPr="003643F3">
              <w:rPr>
                <w:rFonts w:ascii="Arial" w:hAnsi="Arial" w:cs="Arial"/>
                <w:iCs/>
                <w:sz w:val="20"/>
                <w:szCs w:val="20"/>
                <w:lang w:val="en-ZA"/>
              </w:rPr>
              <w:t xml:space="preserve">For mining </w:t>
            </w:r>
            <w:r w:rsidR="001426BF" w:rsidRPr="003643F3">
              <w:rPr>
                <w:rFonts w:ascii="Arial" w:hAnsi="Arial" w:cs="Arial"/>
                <w:iCs/>
                <w:sz w:val="20"/>
                <w:szCs w:val="20"/>
              </w:rPr>
              <w:t>companies</w:t>
            </w:r>
          </w:p>
          <w:p w14:paraId="0EE19DFA" w14:textId="77777777" w:rsidR="004F6820" w:rsidRDefault="004F6820" w:rsidP="003643F3">
            <w:pPr>
              <w:rPr>
                <w:rFonts w:ascii="Arial" w:hAnsi="Arial" w:cs="Arial"/>
                <w:iCs/>
                <w:sz w:val="20"/>
                <w:szCs w:val="20"/>
              </w:rPr>
            </w:pPr>
          </w:p>
          <w:p w14:paraId="50F9C386" w14:textId="77777777" w:rsidR="004F6820" w:rsidRDefault="004F6820" w:rsidP="003643F3">
            <w:pPr>
              <w:rPr>
                <w:rFonts w:ascii="Arial" w:hAnsi="Arial" w:cs="Arial"/>
                <w:iCs/>
                <w:sz w:val="20"/>
                <w:szCs w:val="20"/>
              </w:rPr>
            </w:pPr>
          </w:p>
          <w:p w14:paraId="0D8A9C1D" w14:textId="70D48085" w:rsidR="0012714A" w:rsidRDefault="004F6820" w:rsidP="0012714A">
            <w:pPr>
              <w:pStyle w:val="ListParagraph"/>
              <w:numPr>
                <w:ilvl w:val="0"/>
                <w:numId w:val="11"/>
              </w:numPr>
              <w:rPr>
                <w:rFonts w:ascii="Arial" w:hAnsi="Arial" w:cs="Arial"/>
                <w:iCs/>
                <w:sz w:val="20"/>
                <w:szCs w:val="20"/>
              </w:rPr>
            </w:pPr>
            <w:r>
              <w:rPr>
                <w:rFonts w:ascii="Arial" w:hAnsi="Arial" w:cs="Arial"/>
                <w:iCs/>
                <w:sz w:val="20"/>
                <w:szCs w:val="20"/>
              </w:rPr>
              <w:t xml:space="preserve">A separate written submission which must be submitted by the Issuer </w:t>
            </w:r>
            <w:r w:rsidRPr="00176DC3">
              <w:rPr>
                <w:rFonts w:ascii="Arial" w:hAnsi="Arial" w:cs="Arial"/>
                <w:iCs/>
                <w:sz w:val="20"/>
                <w:szCs w:val="20"/>
              </w:rPr>
              <w:t>confirming compliance (</w:t>
            </w:r>
            <w:r>
              <w:rPr>
                <w:rFonts w:ascii="Arial" w:hAnsi="Arial" w:cs="Arial"/>
                <w:iCs/>
                <w:sz w:val="20"/>
                <w:szCs w:val="20"/>
              </w:rPr>
              <w:t xml:space="preserve">Mineral </w:t>
            </w:r>
            <w:r w:rsidRPr="00176DC3">
              <w:rPr>
                <w:rFonts w:ascii="Arial" w:hAnsi="Arial" w:cs="Arial"/>
                <w:iCs/>
                <w:sz w:val="20"/>
                <w:szCs w:val="20"/>
              </w:rPr>
              <w:t xml:space="preserve">Recourse and </w:t>
            </w:r>
            <w:r>
              <w:rPr>
                <w:rFonts w:ascii="Arial" w:hAnsi="Arial" w:cs="Arial"/>
                <w:iCs/>
                <w:sz w:val="20"/>
                <w:szCs w:val="20"/>
              </w:rPr>
              <w:t xml:space="preserve">Mineral </w:t>
            </w:r>
            <w:r w:rsidRPr="00176DC3">
              <w:rPr>
                <w:rFonts w:ascii="Arial" w:hAnsi="Arial" w:cs="Arial"/>
                <w:iCs/>
                <w:sz w:val="20"/>
                <w:szCs w:val="20"/>
              </w:rPr>
              <w:t>Reserves compliance</w:t>
            </w:r>
            <w:r>
              <w:rPr>
                <w:rFonts w:ascii="Arial" w:hAnsi="Arial" w:cs="Arial"/>
                <w:iCs/>
                <w:sz w:val="20"/>
                <w:szCs w:val="20"/>
              </w:rPr>
              <w:t xml:space="preserve"> </w:t>
            </w:r>
            <w:r w:rsidR="00B07DA8" w:rsidRPr="00B07DA8">
              <w:rPr>
                <w:rFonts w:ascii="Arial" w:hAnsi="Arial" w:cs="Arial"/>
                <w:iCs/>
                <w:sz w:val="20"/>
                <w:szCs w:val="20"/>
              </w:rPr>
              <w:t>confirmation</w:t>
            </w:r>
          </w:p>
          <w:p w14:paraId="1FFC6BDE" w14:textId="77777777" w:rsidR="00EF4606" w:rsidRDefault="00EF4606" w:rsidP="00EF4606">
            <w:pPr>
              <w:pStyle w:val="ListParagraph"/>
              <w:rPr>
                <w:rFonts w:ascii="Arial" w:hAnsi="Arial" w:cs="Arial"/>
                <w:iCs/>
                <w:sz w:val="20"/>
                <w:szCs w:val="20"/>
              </w:rPr>
            </w:pPr>
          </w:p>
          <w:p w14:paraId="44A08649" w14:textId="0FC4822E" w:rsidR="009B05F7" w:rsidRPr="0012714A" w:rsidRDefault="00292291" w:rsidP="0012714A">
            <w:pPr>
              <w:pStyle w:val="ListParagraph"/>
              <w:numPr>
                <w:ilvl w:val="0"/>
                <w:numId w:val="11"/>
              </w:numPr>
              <w:rPr>
                <w:rFonts w:ascii="Arial" w:hAnsi="Arial" w:cs="Arial"/>
                <w:iCs/>
                <w:sz w:val="20"/>
                <w:szCs w:val="20"/>
              </w:rPr>
            </w:pPr>
            <w:r>
              <w:rPr>
                <w:rFonts w:ascii="Arial" w:hAnsi="Arial" w:cs="Arial"/>
                <w:iCs/>
                <w:sz w:val="20"/>
                <w:szCs w:val="20"/>
              </w:rPr>
              <w:t>the information in ter</w:t>
            </w:r>
            <w:r w:rsidR="00BA5159">
              <w:rPr>
                <w:rFonts w:ascii="Arial" w:hAnsi="Arial" w:cs="Arial"/>
                <w:iCs/>
                <w:sz w:val="20"/>
                <w:szCs w:val="20"/>
              </w:rPr>
              <w:t>m</w:t>
            </w:r>
            <w:r>
              <w:rPr>
                <w:rFonts w:ascii="Arial" w:hAnsi="Arial" w:cs="Arial"/>
                <w:iCs/>
                <w:sz w:val="20"/>
                <w:szCs w:val="20"/>
              </w:rPr>
              <w:t>s of 14.10</w:t>
            </w:r>
          </w:p>
          <w:p w14:paraId="70099F86" w14:textId="77777777" w:rsidR="00C36D30" w:rsidRPr="001426BF" w:rsidRDefault="00C36D30" w:rsidP="00773708">
            <w:pPr>
              <w:pStyle w:val="ListParagraph"/>
              <w:rPr>
                <w:rFonts w:ascii="Arial" w:hAnsi="Arial" w:cs="Arial"/>
                <w:iCs/>
                <w:sz w:val="20"/>
                <w:szCs w:val="20"/>
              </w:rPr>
            </w:pPr>
          </w:p>
          <w:p w14:paraId="1A90621F" w14:textId="77777777" w:rsidR="00364BC6" w:rsidRPr="00364BC6" w:rsidRDefault="00364BC6" w:rsidP="00364BC6">
            <w:pPr>
              <w:autoSpaceDE w:val="0"/>
              <w:autoSpaceDN w:val="0"/>
              <w:adjustRightInd w:val="0"/>
              <w:rPr>
                <w:rFonts w:ascii="Arial" w:hAnsi="Arial" w:cs="Arial"/>
                <w:b/>
                <w:bCs/>
                <w:sz w:val="20"/>
                <w:szCs w:val="20"/>
                <w:lang w:val="en-ZA"/>
              </w:rPr>
            </w:pPr>
            <w:r w:rsidRPr="00364BC6">
              <w:rPr>
                <w:rFonts w:ascii="Arial" w:hAnsi="Arial" w:cs="Arial"/>
                <w:b/>
                <w:bCs/>
                <w:sz w:val="20"/>
                <w:szCs w:val="20"/>
                <w:lang w:val="en-ZA"/>
              </w:rPr>
              <w:t>Contents of annual report: Mining and exploration</w:t>
            </w:r>
          </w:p>
          <w:p w14:paraId="3011016D" w14:textId="589B53EE" w:rsidR="00364BC6" w:rsidRPr="00364BC6" w:rsidRDefault="00364BC6" w:rsidP="00364BC6">
            <w:pPr>
              <w:autoSpaceDE w:val="0"/>
              <w:autoSpaceDN w:val="0"/>
              <w:adjustRightInd w:val="0"/>
              <w:rPr>
                <w:rFonts w:ascii="Arial" w:hAnsi="Arial" w:cs="Arial"/>
                <w:sz w:val="20"/>
                <w:szCs w:val="20"/>
                <w:lang w:val="en-ZA"/>
              </w:rPr>
            </w:pPr>
            <w:r w:rsidRPr="00364BC6">
              <w:rPr>
                <w:rFonts w:ascii="Arial" w:hAnsi="Arial" w:cs="Arial"/>
                <w:sz w:val="20"/>
                <w:szCs w:val="20"/>
                <w:lang w:val="en-ZA"/>
              </w:rPr>
              <w:t>In addition to complying with Section 11, the following additional information</w:t>
            </w:r>
          </w:p>
          <w:p w14:paraId="177074FD" w14:textId="77777777" w:rsidR="00364BC6" w:rsidRDefault="00364BC6" w:rsidP="00364BC6">
            <w:pPr>
              <w:autoSpaceDE w:val="0"/>
              <w:autoSpaceDN w:val="0"/>
              <w:adjustRightInd w:val="0"/>
              <w:rPr>
                <w:rFonts w:ascii="Arial" w:hAnsi="Arial" w:cs="Arial"/>
                <w:sz w:val="20"/>
                <w:szCs w:val="20"/>
                <w:lang w:val="en-ZA"/>
              </w:rPr>
            </w:pPr>
            <w:r w:rsidRPr="00364BC6">
              <w:rPr>
                <w:rFonts w:ascii="Arial" w:hAnsi="Arial" w:cs="Arial"/>
                <w:sz w:val="20"/>
                <w:szCs w:val="20"/>
                <w:lang w:val="en-ZA"/>
              </w:rPr>
              <w:t xml:space="preserve">must be included in the </w:t>
            </w:r>
            <w:r w:rsidRPr="00CA4ECE">
              <w:rPr>
                <w:rFonts w:ascii="Arial" w:hAnsi="Arial" w:cs="Arial"/>
                <w:sz w:val="20"/>
                <w:szCs w:val="20"/>
                <w:lang w:val="en-ZA"/>
              </w:rPr>
              <w:t>annual report</w:t>
            </w:r>
            <w:r w:rsidRPr="00364BC6">
              <w:rPr>
                <w:rFonts w:ascii="Arial" w:hAnsi="Arial" w:cs="Arial"/>
                <w:sz w:val="20"/>
                <w:szCs w:val="20"/>
                <w:lang w:val="en-ZA"/>
              </w:rPr>
              <w:t xml:space="preserve"> for the period under review:</w:t>
            </w:r>
          </w:p>
          <w:p w14:paraId="1BA78DC4" w14:textId="77777777" w:rsidR="00B10B2E" w:rsidRPr="00364BC6" w:rsidRDefault="00B10B2E" w:rsidP="00364BC6">
            <w:pPr>
              <w:autoSpaceDE w:val="0"/>
              <w:autoSpaceDN w:val="0"/>
              <w:adjustRightInd w:val="0"/>
              <w:rPr>
                <w:rFonts w:ascii="Arial" w:hAnsi="Arial" w:cs="Arial"/>
                <w:sz w:val="20"/>
                <w:szCs w:val="20"/>
                <w:lang w:val="en-ZA"/>
              </w:rPr>
            </w:pPr>
          </w:p>
          <w:p w14:paraId="5044BED6" w14:textId="77777777" w:rsidR="00364BC6" w:rsidRPr="00364BC6" w:rsidRDefault="00364BC6" w:rsidP="00364BC6">
            <w:pPr>
              <w:autoSpaceDE w:val="0"/>
              <w:autoSpaceDN w:val="0"/>
              <w:adjustRightInd w:val="0"/>
              <w:rPr>
                <w:rFonts w:ascii="Arial" w:hAnsi="Arial" w:cs="Arial"/>
                <w:sz w:val="20"/>
                <w:szCs w:val="20"/>
                <w:lang w:val="en-ZA"/>
              </w:rPr>
            </w:pPr>
            <w:r w:rsidRPr="00364BC6">
              <w:rPr>
                <w:rFonts w:ascii="Arial" w:hAnsi="Arial" w:cs="Arial"/>
                <w:sz w:val="20"/>
                <w:szCs w:val="20"/>
                <w:lang w:val="en-ZA"/>
              </w:rPr>
              <w:t>(a) Basis of disclosure:</w:t>
            </w:r>
          </w:p>
          <w:p w14:paraId="31196A53" w14:textId="056BCC74" w:rsidR="00364BC6" w:rsidRPr="00364BC6" w:rsidRDefault="00364BC6" w:rsidP="00364BC6">
            <w:pPr>
              <w:autoSpaceDE w:val="0"/>
              <w:autoSpaceDN w:val="0"/>
              <w:adjustRightInd w:val="0"/>
              <w:rPr>
                <w:rFonts w:ascii="Arial" w:hAnsi="Arial" w:cs="Arial"/>
                <w:sz w:val="20"/>
                <w:szCs w:val="20"/>
                <w:lang w:val="en-ZA"/>
              </w:rPr>
            </w:pPr>
            <w:r w:rsidRPr="00364BC6">
              <w:rPr>
                <w:rFonts w:ascii="Arial" w:hAnsi="Arial" w:cs="Arial"/>
                <w:sz w:val="20"/>
                <w:szCs w:val="20"/>
                <w:lang w:val="en-ZA"/>
              </w:rPr>
              <w:t>(i) The disclosure required below must be on an attributable beneficial</w:t>
            </w:r>
            <w:r w:rsidR="001B177E">
              <w:rPr>
                <w:rFonts w:ascii="Arial" w:hAnsi="Arial" w:cs="Arial"/>
                <w:sz w:val="20"/>
                <w:szCs w:val="20"/>
                <w:lang w:val="en-ZA"/>
              </w:rPr>
              <w:t xml:space="preserve"> </w:t>
            </w:r>
            <w:r w:rsidRPr="00364BC6">
              <w:rPr>
                <w:rFonts w:ascii="Arial" w:hAnsi="Arial" w:cs="Arial"/>
                <w:sz w:val="20"/>
                <w:szCs w:val="20"/>
                <w:lang w:val="en-ZA"/>
              </w:rPr>
              <w:t>interest basis.</w:t>
            </w:r>
          </w:p>
          <w:p w14:paraId="30EEA978" w14:textId="4BDFC4B5" w:rsidR="00364BC6" w:rsidRPr="00364BC6" w:rsidRDefault="00364BC6" w:rsidP="00364BC6">
            <w:pPr>
              <w:autoSpaceDE w:val="0"/>
              <w:autoSpaceDN w:val="0"/>
              <w:adjustRightInd w:val="0"/>
              <w:rPr>
                <w:rFonts w:ascii="Arial" w:hAnsi="Arial" w:cs="Arial"/>
                <w:sz w:val="20"/>
                <w:szCs w:val="20"/>
                <w:lang w:val="en-ZA"/>
              </w:rPr>
            </w:pPr>
            <w:r w:rsidRPr="00364BC6">
              <w:rPr>
                <w:rFonts w:ascii="Arial" w:hAnsi="Arial" w:cs="Arial"/>
                <w:sz w:val="20"/>
                <w:szCs w:val="20"/>
                <w:lang w:val="en-ZA"/>
              </w:rPr>
              <w:t>(ii) Disclosure may be made on an aggregated attributable beneficial</w:t>
            </w:r>
            <w:r w:rsidR="001B177E">
              <w:rPr>
                <w:rFonts w:ascii="Arial" w:hAnsi="Arial" w:cs="Arial"/>
                <w:sz w:val="20"/>
                <w:szCs w:val="20"/>
                <w:lang w:val="en-ZA"/>
              </w:rPr>
              <w:t xml:space="preserve"> </w:t>
            </w:r>
            <w:r w:rsidR="00B10B2E" w:rsidRPr="00364BC6">
              <w:rPr>
                <w:rFonts w:ascii="Arial" w:hAnsi="Arial" w:cs="Arial"/>
                <w:sz w:val="20"/>
                <w:szCs w:val="20"/>
                <w:lang w:val="en-ZA"/>
              </w:rPr>
              <w:t>I</w:t>
            </w:r>
            <w:r w:rsidRPr="00364BC6">
              <w:rPr>
                <w:rFonts w:ascii="Arial" w:hAnsi="Arial" w:cs="Arial"/>
                <w:sz w:val="20"/>
                <w:szCs w:val="20"/>
                <w:lang w:val="en-ZA"/>
              </w:rPr>
              <w:t>nterest basis (“total basis”) where the required disclosure below</w:t>
            </w:r>
            <w:r w:rsidR="001B177E">
              <w:rPr>
                <w:rFonts w:ascii="Arial" w:hAnsi="Arial" w:cs="Arial"/>
                <w:sz w:val="20"/>
                <w:szCs w:val="20"/>
                <w:lang w:val="en-ZA"/>
              </w:rPr>
              <w:t xml:space="preserve"> </w:t>
            </w:r>
            <w:r w:rsidRPr="00364BC6">
              <w:rPr>
                <w:rFonts w:ascii="Arial" w:hAnsi="Arial" w:cs="Arial"/>
                <w:sz w:val="20"/>
                <w:szCs w:val="20"/>
                <w:lang w:val="en-ZA"/>
              </w:rPr>
              <w:t>has previously been disclosed by another issuer in compliance with</w:t>
            </w:r>
            <w:r w:rsidR="001B177E">
              <w:rPr>
                <w:rFonts w:ascii="Arial" w:hAnsi="Arial" w:cs="Arial"/>
                <w:sz w:val="20"/>
                <w:szCs w:val="20"/>
                <w:lang w:val="en-ZA"/>
              </w:rPr>
              <w:t xml:space="preserve"> </w:t>
            </w:r>
            <w:r w:rsidRPr="00364BC6">
              <w:rPr>
                <w:rFonts w:ascii="Arial" w:hAnsi="Arial" w:cs="Arial"/>
                <w:sz w:val="20"/>
                <w:szCs w:val="20"/>
                <w:lang w:val="en-ZA"/>
              </w:rPr>
              <w:t>Requirements. If disclosure is made on a total basis, then the</w:t>
            </w:r>
            <w:r w:rsidR="001B177E">
              <w:rPr>
                <w:rFonts w:ascii="Arial" w:hAnsi="Arial" w:cs="Arial"/>
                <w:sz w:val="20"/>
                <w:szCs w:val="20"/>
                <w:lang w:val="en-ZA"/>
              </w:rPr>
              <w:t xml:space="preserve"> </w:t>
            </w:r>
            <w:r w:rsidRPr="00364BC6">
              <w:rPr>
                <w:rFonts w:ascii="Arial" w:hAnsi="Arial" w:cs="Arial"/>
                <w:sz w:val="20"/>
                <w:szCs w:val="20"/>
                <w:lang w:val="en-ZA"/>
              </w:rPr>
              <w:t>attributable beneficial interest percentage must also be clearly</w:t>
            </w:r>
            <w:r w:rsidR="001B177E">
              <w:rPr>
                <w:rFonts w:ascii="Arial" w:hAnsi="Arial" w:cs="Arial"/>
                <w:sz w:val="20"/>
                <w:szCs w:val="20"/>
                <w:lang w:val="en-ZA"/>
              </w:rPr>
              <w:t xml:space="preserve"> </w:t>
            </w:r>
            <w:r w:rsidRPr="00364BC6">
              <w:rPr>
                <w:rFonts w:ascii="Arial" w:hAnsi="Arial" w:cs="Arial"/>
                <w:sz w:val="20"/>
                <w:szCs w:val="20"/>
                <w:lang w:val="en-ZA"/>
              </w:rPr>
              <w:t>stated.</w:t>
            </w:r>
          </w:p>
          <w:p w14:paraId="4EE82201" w14:textId="77777777" w:rsidR="00364BC6" w:rsidRPr="00364BC6" w:rsidRDefault="00364BC6" w:rsidP="00364BC6">
            <w:pPr>
              <w:autoSpaceDE w:val="0"/>
              <w:autoSpaceDN w:val="0"/>
              <w:adjustRightInd w:val="0"/>
              <w:rPr>
                <w:rFonts w:ascii="Arial" w:hAnsi="Arial" w:cs="Arial"/>
                <w:sz w:val="20"/>
                <w:szCs w:val="20"/>
                <w:lang w:val="en-ZA"/>
              </w:rPr>
            </w:pPr>
            <w:r w:rsidRPr="00364BC6">
              <w:rPr>
                <w:rFonts w:ascii="Arial" w:hAnsi="Arial" w:cs="Arial"/>
                <w:sz w:val="20"/>
                <w:szCs w:val="20"/>
                <w:lang w:val="en-ZA"/>
              </w:rPr>
              <w:t>(iii) Disclosure must comply with the SAMREC code and this Section.</w:t>
            </w:r>
          </w:p>
          <w:p w14:paraId="3A6D7028" w14:textId="77777777" w:rsidR="00364BC6" w:rsidRPr="00364BC6" w:rsidRDefault="00364BC6" w:rsidP="00364BC6">
            <w:pPr>
              <w:autoSpaceDE w:val="0"/>
              <w:autoSpaceDN w:val="0"/>
              <w:adjustRightInd w:val="0"/>
              <w:rPr>
                <w:rFonts w:ascii="Arial" w:hAnsi="Arial" w:cs="Arial"/>
                <w:sz w:val="20"/>
                <w:szCs w:val="20"/>
                <w:lang w:val="en-ZA"/>
              </w:rPr>
            </w:pPr>
            <w:r w:rsidRPr="00364BC6">
              <w:rPr>
                <w:rFonts w:ascii="Arial" w:hAnsi="Arial" w:cs="Arial"/>
                <w:sz w:val="20"/>
                <w:szCs w:val="20"/>
                <w:lang w:val="en-ZA"/>
              </w:rPr>
              <w:t>(iv) Details of the CP (not required to be independent from the issuer),</w:t>
            </w:r>
          </w:p>
          <w:p w14:paraId="137488AC" w14:textId="77777777" w:rsidR="00364BC6" w:rsidRPr="00364BC6" w:rsidRDefault="00364BC6" w:rsidP="00364BC6">
            <w:pPr>
              <w:autoSpaceDE w:val="0"/>
              <w:autoSpaceDN w:val="0"/>
              <w:adjustRightInd w:val="0"/>
              <w:rPr>
                <w:rFonts w:ascii="Arial" w:hAnsi="Arial" w:cs="Arial"/>
                <w:sz w:val="20"/>
                <w:szCs w:val="20"/>
                <w:lang w:val="en-ZA"/>
              </w:rPr>
            </w:pPr>
            <w:r w:rsidRPr="00364BC6">
              <w:rPr>
                <w:rFonts w:ascii="Arial" w:hAnsi="Arial" w:cs="Arial"/>
                <w:sz w:val="20"/>
                <w:szCs w:val="20"/>
                <w:lang w:val="en-ZA"/>
              </w:rPr>
              <w:t>including the name, address, professional qualifications and</w:t>
            </w:r>
          </w:p>
          <w:p w14:paraId="78ABF5AA" w14:textId="77777777" w:rsidR="00364BC6" w:rsidRPr="00364BC6" w:rsidRDefault="00364BC6" w:rsidP="00364BC6">
            <w:pPr>
              <w:autoSpaceDE w:val="0"/>
              <w:autoSpaceDN w:val="0"/>
              <w:adjustRightInd w:val="0"/>
              <w:rPr>
                <w:rFonts w:ascii="Arial" w:hAnsi="Arial" w:cs="Arial"/>
                <w:sz w:val="20"/>
                <w:szCs w:val="20"/>
                <w:lang w:val="en-ZA"/>
              </w:rPr>
            </w:pPr>
            <w:r w:rsidRPr="00364BC6">
              <w:rPr>
                <w:rFonts w:ascii="Arial" w:hAnsi="Arial" w:cs="Arial"/>
                <w:sz w:val="20"/>
                <w:szCs w:val="20"/>
                <w:lang w:val="en-ZA"/>
              </w:rPr>
              <w:t>relevant experience (including the name and address of the body</w:t>
            </w:r>
          </w:p>
          <w:p w14:paraId="77FC6A06" w14:textId="77777777" w:rsidR="00364BC6" w:rsidRPr="00364BC6" w:rsidRDefault="00364BC6" w:rsidP="00364BC6">
            <w:pPr>
              <w:autoSpaceDE w:val="0"/>
              <w:autoSpaceDN w:val="0"/>
              <w:adjustRightInd w:val="0"/>
              <w:rPr>
                <w:rFonts w:ascii="Arial" w:hAnsi="Arial" w:cs="Arial"/>
                <w:sz w:val="20"/>
                <w:szCs w:val="20"/>
                <w:lang w:val="en-ZA"/>
              </w:rPr>
            </w:pPr>
            <w:r w:rsidRPr="00364BC6">
              <w:rPr>
                <w:rFonts w:ascii="Arial" w:hAnsi="Arial" w:cs="Arial"/>
                <w:sz w:val="20"/>
                <w:szCs w:val="20"/>
                <w:lang w:val="en-ZA"/>
              </w:rPr>
              <w:t>recognised by SAMREC code of which the CP is a member) of the</w:t>
            </w:r>
          </w:p>
          <w:p w14:paraId="297C5E58" w14:textId="77777777" w:rsidR="00364BC6" w:rsidRPr="00364BC6" w:rsidRDefault="00364BC6" w:rsidP="00364BC6">
            <w:pPr>
              <w:autoSpaceDE w:val="0"/>
              <w:autoSpaceDN w:val="0"/>
              <w:adjustRightInd w:val="0"/>
              <w:rPr>
                <w:rFonts w:ascii="Arial" w:hAnsi="Arial" w:cs="Arial"/>
                <w:sz w:val="20"/>
                <w:szCs w:val="20"/>
                <w:lang w:val="en-ZA"/>
              </w:rPr>
            </w:pPr>
            <w:r w:rsidRPr="00364BC6">
              <w:rPr>
                <w:rFonts w:ascii="Arial" w:hAnsi="Arial" w:cs="Arial"/>
                <w:sz w:val="20"/>
                <w:szCs w:val="20"/>
                <w:lang w:val="en-ZA"/>
              </w:rPr>
              <w:t>lead CP authorising release of the information disclosed below.</w:t>
            </w:r>
          </w:p>
          <w:p w14:paraId="233C1AAE" w14:textId="77777777" w:rsidR="00364BC6" w:rsidRPr="00364BC6" w:rsidRDefault="00364BC6" w:rsidP="00364BC6">
            <w:pPr>
              <w:autoSpaceDE w:val="0"/>
              <w:autoSpaceDN w:val="0"/>
              <w:adjustRightInd w:val="0"/>
              <w:rPr>
                <w:rFonts w:ascii="Arial" w:hAnsi="Arial" w:cs="Arial"/>
                <w:sz w:val="20"/>
                <w:szCs w:val="20"/>
                <w:lang w:val="en-ZA"/>
              </w:rPr>
            </w:pPr>
            <w:r w:rsidRPr="00364BC6">
              <w:rPr>
                <w:rFonts w:ascii="Arial" w:hAnsi="Arial" w:cs="Arial"/>
                <w:sz w:val="20"/>
                <w:szCs w:val="20"/>
                <w:lang w:val="en-ZA"/>
              </w:rPr>
              <w:t>(v) Include a statement that they have written confirmation from the CP</w:t>
            </w:r>
          </w:p>
          <w:p w14:paraId="53D84E57" w14:textId="77777777" w:rsidR="00364BC6" w:rsidRPr="00364BC6" w:rsidRDefault="00364BC6" w:rsidP="00364BC6">
            <w:pPr>
              <w:autoSpaceDE w:val="0"/>
              <w:autoSpaceDN w:val="0"/>
              <w:adjustRightInd w:val="0"/>
              <w:rPr>
                <w:rFonts w:ascii="Arial" w:hAnsi="Arial" w:cs="Arial"/>
                <w:sz w:val="20"/>
                <w:szCs w:val="20"/>
                <w:lang w:val="en-ZA"/>
              </w:rPr>
            </w:pPr>
            <w:r w:rsidRPr="00364BC6">
              <w:rPr>
                <w:rFonts w:ascii="Arial" w:hAnsi="Arial" w:cs="Arial"/>
                <w:sz w:val="20"/>
                <w:szCs w:val="20"/>
                <w:lang w:val="en-ZA"/>
              </w:rPr>
              <w:t>or lead CP, that the information disclosed is compliant with the</w:t>
            </w:r>
          </w:p>
          <w:p w14:paraId="2C42443C" w14:textId="77777777" w:rsidR="00364BC6" w:rsidRPr="00364BC6" w:rsidRDefault="00364BC6" w:rsidP="00364BC6">
            <w:pPr>
              <w:autoSpaceDE w:val="0"/>
              <w:autoSpaceDN w:val="0"/>
              <w:adjustRightInd w:val="0"/>
              <w:rPr>
                <w:rFonts w:ascii="Arial" w:hAnsi="Arial" w:cs="Arial"/>
                <w:sz w:val="20"/>
                <w:szCs w:val="20"/>
                <w:lang w:val="en-ZA"/>
              </w:rPr>
            </w:pPr>
            <w:r w:rsidRPr="00364BC6">
              <w:rPr>
                <w:rFonts w:ascii="Arial" w:hAnsi="Arial" w:cs="Arial"/>
                <w:sz w:val="20"/>
                <w:szCs w:val="20"/>
                <w:lang w:val="en-ZA"/>
              </w:rPr>
              <w:t>SAMREC code and this Section and that it may be published in the</w:t>
            </w:r>
          </w:p>
          <w:p w14:paraId="05408978" w14:textId="77777777" w:rsidR="00364BC6" w:rsidRPr="00364BC6" w:rsidRDefault="00364BC6" w:rsidP="00364BC6">
            <w:pPr>
              <w:autoSpaceDE w:val="0"/>
              <w:autoSpaceDN w:val="0"/>
              <w:adjustRightInd w:val="0"/>
              <w:rPr>
                <w:rFonts w:ascii="Arial" w:hAnsi="Arial" w:cs="Arial"/>
                <w:sz w:val="20"/>
                <w:szCs w:val="20"/>
                <w:lang w:val="en-ZA"/>
              </w:rPr>
            </w:pPr>
            <w:r w:rsidRPr="00364BC6">
              <w:rPr>
                <w:rFonts w:ascii="Arial" w:hAnsi="Arial" w:cs="Arial"/>
                <w:sz w:val="20"/>
                <w:szCs w:val="20"/>
                <w:lang w:val="en-ZA"/>
              </w:rPr>
              <w:t>form and context in which it was intended.</w:t>
            </w:r>
          </w:p>
          <w:p w14:paraId="6C5F96BB" w14:textId="77777777" w:rsidR="00D51EBB" w:rsidRDefault="00D51EBB" w:rsidP="00364BC6">
            <w:pPr>
              <w:autoSpaceDE w:val="0"/>
              <w:autoSpaceDN w:val="0"/>
              <w:adjustRightInd w:val="0"/>
              <w:rPr>
                <w:rFonts w:ascii="Arial" w:hAnsi="Arial" w:cs="Arial"/>
                <w:sz w:val="20"/>
                <w:szCs w:val="20"/>
                <w:lang w:val="en-ZA"/>
              </w:rPr>
            </w:pPr>
          </w:p>
          <w:p w14:paraId="17E661A4" w14:textId="628A3D53" w:rsidR="00364BC6" w:rsidRPr="00364BC6" w:rsidRDefault="00364BC6" w:rsidP="00364BC6">
            <w:pPr>
              <w:autoSpaceDE w:val="0"/>
              <w:autoSpaceDN w:val="0"/>
              <w:adjustRightInd w:val="0"/>
              <w:rPr>
                <w:rFonts w:ascii="Arial" w:hAnsi="Arial" w:cs="Arial"/>
                <w:sz w:val="20"/>
                <w:szCs w:val="20"/>
                <w:lang w:val="en-ZA"/>
              </w:rPr>
            </w:pPr>
            <w:r w:rsidRPr="00364BC6">
              <w:rPr>
                <w:rFonts w:ascii="Arial" w:hAnsi="Arial" w:cs="Arial"/>
                <w:sz w:val="20"/>
                <w:szCs w:val="20"/>
                <w:lang w:val="en-ZA"/>
              </w:rPr>
              <w:t>(b) Where individual operations, projects or exploration activities are material,</w:t>
            </w:r>
          </w:p>
          <w:p w14:paraId="7C3C8806" w14:textId="77777777" w:rsidR="00364BC6" w:rsidRPr="00364BC6" w:rsidRDefault="00364BC6" w:rsidP="00364BC6">
            <w:pPr>
              <w:autoSpaceDE w:val="0"/>
              <w:autoSpaceDN w:val="0"/>
              <w:adjustRightInd w:val="0"/>
              <w:rPr>
                <w:rFonts w:ascii="Arial" w:hAnsi="Arial" w:cs="Arial"/>
                <w:sz w:val="20"/>
                <w:szCs w:val="20"/>
                <w:lang w:val="en-ZA"/>
              </w:rPr>
            </w:pPr>
            <w:r w:rsidRPr="00364BC6">
              <w:rPr>
                <w:rFonts w:ascii="Arial" w:hAnsi="Arial" w:cs="Arial"/>
                <w:sz w:val="20"/>
                <w:szCs w:val="20"/>
                <w:lang w:val="en-ZA"/>
              </w:rPr>
              <w:t>the following apply:</w:t>
            </w:r>
          </w:p>
          <w:p w14:paraId="393B37E7" w14:textId="77777777" w:rsidR="00364BC6" w:rsidRPr="00364BC6" w:rsidRDefault="00364BC6" w:rsidP="00364BC6">
            <w:pPr>
              <w:autoSpaceDE w:val="0"/>
              <w:autoSpaceDN w:val="0"/>
              <w:adjustRightInd w:val="0"/>
              <w:rPr>
                <w:rFonts w:ascii="Arial" w:hAnsi="Arial" w:cs="Arial"/>
                <w:sz w:val="20"/>
                <w:szCs w:val="20"/>
                <w:lang w:val="en-ZA"/>
              </w:rPr>
            </w:pPr>
            <w:r w:rsidRPr="00364BC6">
              <w:rPr>
                <w:rFonts w:ascii="Arial" w:hAnsi="Arial" w:cs="Arial"/>
                <w:sz w:val="20"/>
                <w:szCs w:val="20"/>
                <w:lang w:val="en-ZA"/>
              </w:rPr>
              <w:t>(i) Mining issuers: 14.10(c) and 14.10(d)</w:t>
            </w:r>
          </w:p>
          <w:p w14:paraId="2FDC7E26" w14:textId="77777777" w:rsidR="00364BC6" w:rsidRPr="00364BC6" w:rsidRDefault="00364BC6" w:rsidP="00364BC6">
            <w:pPr>
              <w:autoSpaceDE w:val="0"/>
              <w:autoSpaceDN w:val="0"/>
              <w:adjustRightInd w:val="0"/>
              <w:rPr>
                <w:rFonts w:ascii="Arial" w:hAnsi="Arial" w:cs="Arial"/>
                <w:sz w:val="20"/>
                <w:szCs w:val="20"/>
                <w:lang w:val="en-ZA"/>
              </w:rPr>
            </w:pPr>
            <w:r w:rsidRPr="00364BC6">
              <w:rPr>
                <w:rFonts w:ascii="Arial" w:hAnsi="Arial" w:cs="Arial"/>
                <w:sz w:val="20"/>
                <w:szCs w:val="20"/>
                <w:lang w:val="en-ZA"/>
              </w:rPr>
              <w:t>(ii) Exploration issuers: 14.10(d)</w:t>
            </w:r>
          </w:p>
          <w:p w14:paraId="38E03A7E" w14:textId="77777777" w:rsidR="00364BC6" w:rsidRPr="00364BC6" w:rsidRDefault="00364BC6" w:rsidP="00364BC6">
            <w:pPr>
              <w:autoSpaceDE w:val="0"/>
              <w:autoSpaceDN w:val="0"/>
              <w:adjustRightInd w:val="0"/>
              <w:rPr>
                <w:rFonts w:ascii="Arial" w:hAnsi="Arial" w:cs="Arial"/>
                <w:sz w:val="20"/>
                <w:szCs w:val="20"/>
                <w:lang w:val="en-ZA"/>
              </w:rPr>
            </w:pPr>
            <w:r w:rsidRPr="00364BC6">
              <w:rPr>
                <w:rFonts w:ascii="Arial" w:hAnsi="Arial" w:cs="Arial"/>
                <w:sz w:val="20"/>
                <w:szCs w:val="20"/>
                <w:lang w:val="en-ZA"/>
              </w:rPr>
              <w:t>If any paragraph is not applicable, an explanatory statement must be made.</w:t>
            </w:r>
          </w:p>
          <w:p w14:paraId="326D1B2F" w14:textId="77777777" w:rsidR="006B4FC3" w:rsidRDefault="006B4FC3" w:rsidP="00364BC6">
            <w:pPr>
              <w:autoSpaceDE w:val="0"/>
              <w:autoSpaceDN w:val="0"/>
              <w:adjustRightInd w:val="0"/>
              <w:rPr>
                <w:rFonts w:ascii="Arial" w:hAnsi="Arial" w:cs="Arial"/>
                <w:sz w:val="20"/>
                <w:szCs w:val="20"/>
                <w:lang w:val="en-ZA"/>
              </w:rPr>
            </w:pPr>
          </w:p>
          <w:p w14:paraId="0D30C094" w14:textId="32EFBE87" w:rsidR="00364BC6" w:rsidRPr="00364BC6" w:rsidRDefault="00364BC6" w:rsidP="00364BC6">
            <w:pPr>
              <w:autoSpaceDE w:val="0"/>
              <w:autoSpaceDN w:val="0"/>
              <w:adjustRightInd w:val="0"/>
              <w:rPr>
                <w:rFonts w:ascii="Arial" w:hAnsi="Arial" w:cs="Arial"/>
                <w:sz w:val="20"/>
                <w:szCs w:val="20"/>
                <w:lang w:val="en-ZA"/>
              </w:rPr>
            </w:pPr>
            <w:r w:rsidRPr="00364BC6">
              <w:rPr>
                <w:rFonts w:ascii="Arial" w:hAnsi="Arial" w:cs="Arial"/>
                <w:sz w:val="20"/>
                <w:szCs w:val="20"/>
                <w:lang w:val="en-ZA"/>
              </w:rPr>
              <w:t>(c) Mining: Disclosure of the following, where applicable:</w:t>
            </w:r>
          </w:p>
          <w:p w14:paraId="2258A836" w14:textId="77777777" w:rsidR="00364BC6" w:rsidRPr="00364BC6" w:rsidRDefault="00364BC6" w:rsidP="00364BC6">
            <w:pPr>
              <w:autoSpaceDE w:val="0"/>
              <w:autoSpaceDN w:val="0"/>
              <w:adjustRightInd w:val="0"/>
              <w:rPr>
                <w:rFonts w:ascii="Arial" w:hAnsi="Arial" w:cs="Arial"/>
                <w:sz w:val="20"/>
                <w:szCs w:val="20"/>
                <w:lang w:val="en-ZA"/>
              </w:rPr>
            </w:pPr>
            <w:r w:rsidRPr="00364BC6">
              <w:rPr>
                <w:rFonts w:ascii="Arial" w:hAnsi="Arial" w:cs="Arial"/>
                <w:sz w:val="20"/>
                <w:szCs w:val="20"/>
                <w:lang w:val="en-ZA"/>
              </w:rPr>
              <w:t>(i) a brief description of the geological setting and geological model</w:t>
            </w:r>
          </w:p>
          <w:p w14:paraId="3E39ED2B" w14:textId="77777777" w:rsidR="00364BC6" w:rsidRPr="00364BC6" w:rsidRDefault="00364BC6" w:rsidP="00364BC6">
            <w:pPr>
              <w:autoSpaceDE w:val="0"/>
              <w:autoSpaceDN w:val="0"/>
              <w:adjustRightInd w:val="0"/>
              <w:rPr>
                <w:rFonts w:ascii="Arial" w:hAnsi="Arial" w:cs="Arial"/>
                <w:sz w:val="20"/>
                <w:szCs w:val="20"/>
                <w:lang w:val="en-ZA"/>
              </w:rPr>
            </w:pPr>
            <w:r w:rsidRPr="00364BC6">
              <w:rPr>
                <w:rFonts w:ascii="Arial" w:hAnsi="Arial" w:cs="Arial"/>
                <w:sz w:val="20"/>
                <w:szCs w:val="20"/>
                <w:lang w:val="en-ZA"/>
              </w:rPr>
              <w:t>(ii) a brief description of the type of mining activities, including a brief</w:t>
            </w:r>
          </w:p>
          <w:p w14:paraId="4F4C6462" w14:textId="77777777" w:rsidR="00364BC6" w:rsidRPr="00364BC6" w:rsidRDefault="00364BC6" w:rsidP="00364BC6">
            <w:pPr>
              <w:autoSpaceDE w:val="0"/>
              <w:autoSpaceDN w:val="0"/>
              <w:adjustRightInd w:val="0"/>
              <w:rPr>
                <w:rFonts w:ascii="Arial" w:hAnsi="Arial" w:cs="Arial"/>
                <w:sz w:val="20"/>
                <w:szCs w:val="20"/>
                <w:lang w:val="en-ZA"/>
              </w:rPr>
            </w:pPr>
            <w:r w:rsidRPr="00364BC6">
              <w:rPr>
                <w:rFonts w:ascii="Arial" w:hAnsi="Arial" w:cs="Arial"/>
                <w:sz w:val="20"/>
                <w:szCs w:val="20"/>
                <w:lang w:val="en-ZA"/>
              </w:rPr>
              <w:lastRenderedPageBreak/>
              <w:t>history of the workings or operations;</w:t>
            </w:r>
          </w:p>
          <w:p w14:paraId="40B3F4AB" w14:textId="77777777" w:rsidR="00364BC6" w:rsidRPr="00364BC6" w:rsidRDefault="00364BC6" w:rsidP="00364BC6">
            <w:pPr>
              <w:autoSpaceDE w:val="0"/>
              <w:autoSpaceDN w:val="0"/>
              <w:adjustRightInd w:val="0"/>
              <w:rPr>
                <w:rFonts w:ascii="Arial" w:hAnsi="Arial" w:cs="Arial"/>
                <w:sz w:val="20"/>
                <w:szCs w:val="20"/>
                <w:lang w:val="en-ZA"/>
              </w:rPr>
            </w:pPr>
            <w:r w:rsidRPr="00364BC6">
              <w:rPr>
                <w:rFonts w:ascii="Arial" w:hAnsi="Arial" w:cs="Arial"/>
                <w:sz w:val="20"/>
                <w:szCs w:val="20"/>
                <w:lang w:val="en-ZA"/>
              </w:rPr>
              <w:t>(iii) production figures, including a comparison with the previous</w:t>
            </w:r>
          </w:p>
          <w:p w14:paraId="52BE21A1" w14:textId="77777777" w:rsidR="00364BC6" w:rsidRPr="00364BC6" w:rsidRDefault="00364BC6" w:rsidP="00364BC6">
            <w:pPr>
              <w:autoSpaceDE w:val="0"/>
              <w:autoSpaceDN w:val="0"/>
              <w:adjustRightInd w:val="0"/>
              <w:rPr>
                <w:rFonts w:ascii="Arial" w:hAnsi="Arial" w:cs="Arial"/>
                <w:sz w:val="20"/>
                <w:szCs w:val="20"/>
                <w:lang w:val="en-ZA"/>
              </w:rPr>
            </w:pPr>
            <w:r w:rsidRPr="00364BC6">
              <w:rPr>
                <w:rFonts w:ascii="Arial" w:hAnsi="Arial" w:cs="Arial"/>
                <w:sz w:val="20"/>
                <w:szCs w:val="20"/>
                <w:lang w:val="en-ZA"/>
              </w:rPr>
              <w:t>financial year/period;</w:t>
            </w:r>
          </w:p>
          <w:p w14:paraId="631D11B3" w14:textId="77777777" w:rsidR="00364BC6" w:rsidRPr="00364BC6" w:rsidRDefault="00364BC6" w:rsidP="00364BC6">
            <w:pPr>
              <w:autoSpaceDE w:val="0"/>
              <w:autoSpaceDN w:val="0"/>
              <w:adjustRightInd w:val="0"/>
              <w:rPr>
                <w:rFonts w:ascii="Arial" w:hAnsi="Arial" w:cs="Arial"/>
                <w:sz w:val="20"/>
                <w:szCs w:val="20"/>
                <w:lang w:val="en-ZA"/>
              </w:rPr>
            </w:pPr>
            <w:r w:rsidRPr="00364BC6">
              <w:rPr>
                <w:rFonts w:ascii="Arial" w:hAnsi="Arial" w:cs="Arial"/>
                <w:sz w:val="20"/>
                <w:szCs w:val="20"/>
                <w:lang w:val="en-ZA"/>
              </w:rPr>
              <w:t>(iv) a statement on the legal entitlement to the minerals being reported</w:t>
            </w:r>
          </w:p>
          <w:p w14:paraId="6D3CF5AA" w14:textId="77777777" w:rsidR="00364BC6" w:rsidRPr="00364BC6" w:rsidRDefault="00364BC6" w:rsidP="00364BC6">
            <w:pPr>
              <w:autoSpaceDE w:val="0"/>
              <w:autoSpaceDN w:val="0"/>
              <w:adjustRightInd w:val="0"/>
              <w:rPr>
                <w:rFonts w:ascii="Arial" w:hAnsi="Arial" w:cs="Arial"/>
                <w:sz w:val="20"/>
                <w:szCs w:val="20"/>
                <w:lang w:val="en-ZA"/>
              </w:rPr>
            </w:pPr>
            <w:r w:rsidRPr="00364BC6">
              <w:rPr>
                <w:rFonts w:ascii="Arial" w:hAnsi="Arial" w:cs="Arial"/>
                <w:sz w:val="20"/>
                <w:szCs w:val="20"/>
                <w:lang w:val="en-ZA"/>
              </w:rPr>
              <w:t>upon together with any known impediments;</w:t>
            </w:r>
          </w:p>
          <w:p w14:paraId="56A95B57" w14:textId="77777777" w:rsidR="00364BC6" w:rsidRPr="00364BC6" w:rsidRDefault="00364BC6" w:rsidP="00364BC6">
            <w:pPr>
              <w:autoSpaceDE w:val="0"/>
              <w:autoSpaceDN w:val="0"/>
              <w:adjustRightInd w:val="0"/>
              <w:rPr>
                <w:rFonts w:ascii="Arial" w:hAnsi="Arial" w:cs="Arial"/>
                <w:sz w:val="20"/>
                <w:szCs w:val="20"/>
                <w:lang w:val="en-ZA"/>
              </w:rPr>
            </w:pPr>
            <w:r w:rsidRPr="00364BC6">
              <w:rPr>
                <w:rFonts w:ascii="Arial" w:hAnsi="Arial" w:cs="Arial"/>
                <w:sz w:val="20"/>
                <w:szCs w:val="20"/>
                <w:lang w:val="en-ZA"/>
              </w:rPr>
              <w:t>(v) the estimated mineral resources and mineral reserves;</w:t>
            </w:r>
          </w:p>
          <w:p w14:paraId="3A21F7B1" w14:textId="77777777" w:rsidR="00364BC6" w:rsidRPr="00364BC6" w:rsidRDefault="00364BC6" w:rsidP="00364BC6">
            <w:pPr>
              <w:autoSpaceDE w:val="0"/>
              <w:autoSpaceDN w:val="0"/>
              <w:adjustRightInd w:val="0"/>
              <w:rPr>
                <w:rFonts w:ascii="Arial" w:hAnsi="Arial" w:cs="Arial"/>
                <w:sz w:val="20"/>
                <w:szCs w:val="20"/>
                <w:lang w:val="en-ZA"/>
              </w:rPr>
            </w:pPr>
            <w:r w:rsidRPr="00364BC6">
              <w:rPr>
                <w:rFonts w:ascii="Arial" w:hAnsi="Arial" w:cs="Arial"/>
                <w:sz w:val="20"/>
                <w:szCs w:val="20"/>
                <w:lang w:val="en-ZA"/>
              </w:rPr>
              <w:t>(vi) a description of the methods and the key assumptions and parameters</w:t>
            </w:r>
          </w:p>
          <w:p w14:paraId="44280808" w14:textId="77777777" w:rsidR="00364BC6" w:rsidRPr="00364BC6" w:rsidRDefault="00364BC6" w:rsidP="00364BC6">
            <w:pPr>
              <w:autoSpaceDE w:val="0"/>
              <w:autoSpaceDN w:val="0"/>
              <w:adjustRightInd w:val="0"/>
              <w:rPr>
                <w:rFonts w:ascii="Arial" w:hAnsi="Arial" w:cs="Arial"/>
                <w:sz w:val="20"/>
                <w:szCs w:val="20"/>
                <w:lang w:val="en-ZA"/>
              </w:rPr>
            </w:pPr>
            <w:r w:rsidRPr="00364BC6">
              <w:rPr>
                <w:rFonts w:ascii="Arial" w:hAnsi="Arial" w:cs="Arial"/>
                <w:sz w:val="20"/>
                <w:szCs w:val="20"/>
                <w:lang w:val="en-ZA"/>
              </w:rPr>
              <w:t>by which the mineral resources and mineral reserves were estimated</w:t>
            </w:r>
          </w:p>
          <w:p w14:paraId="4EC906BA" w14:textId="77777777" w:rsidR="00364BC6" w:rsidRPr="00364BC6" w:rsidRDefault="00364BC6" w:rsidP="00364BC6">
            <w:pPr>
              <w:autoSpaceDE w:val="0"/>
              <w:autoSpaceDN w:val="0"/>
              <w:adjustRightInd w:val="0"/>
              <w:rPr>
                <w:rFonts w:ascii="Arial" w:hAnsi="Arial" w:cs="Arial"/>
                <w:sz w:val="20"/>
                <w:szCs w:val="20"/>
                <w:lang w:val="en-ZA"/>
              </w:rPr>
            </w:pPr>
            <w:r w:rsidRPr="00364BC6">
              <w:rPr>
                <w:rFonts w:ascii="Arial" w:hAnsi="Arial" w:cs="Arial"/>
                <w:sz w:val="20"/>
                <w:szCs w:val="20"/>
                <w:lang w:val="en-ZA"/>
              </w:rPr>
              <w:t>and classified;</w:t>
            </w:r>
          </w:p>
          <w:p w14:paraId="1113F606" w14:textId="77777777" w:rsidR="00364BC6" w:rsidRPr="00364BC6" w:rsidRDefault="00364BC6" w:rsidP="00364BC6">
            <w:pPr>
              <w:autoSpaceDE w:val="0"/>
              <w:autoSpaceDN w:val="0"/>
              <w:adjustRightInd w:val="0"/>
              <w:rPr>
                <w:rFonts w:ascii="Arial" w:hAnsi="Arial" w:cs="Arial"/>
                <w:sz w:val="20"/>
                <w:szCs w:val="20"/>
                <w:lang w:val="en-ZA"/>
              </w:rPr>
            </w:pPr>
            <w:r w:rsidRPr="00364BC6">
              <w:rPr>
                <w:rFonts w:ascii="Arial" w:hAnsi="Arial" w:cs="Arial"/>
                <w:sz w:val="20"/>
                <w:szCs w:val="20"/>
                <w:lang w:val="en-ZA"/>
              </w:rPr>
              <w:t>(vii) a comparison of the mineral reserve and mineral resource estimates</w:t>
            </w:r>
          </w:p>
          <w:p w14:paraId="45D1FF99" w14:textId="77777777" w:rsidR="00364BC6" w:rsidRPr="00364BC6" w:rsidRDefault="00364BC6" w:rsidP="00364BC6">
            <w:pPr>
              <w:autoSpaceDE w:val="0"/>
              <w:autoSpaceDN w:val="0"/>
              <w:adjustRightInd w:val="0"/>
              <w:rPr>
                <w:rFonts w:ascii="Arial" w:hAnsi="Arial" w:cs="Arial"/>
                <w:sz w:val="20"/>
                <w:szCs w:val="20"/>
                <w:lang w:val="en-ZA"/>
              </w:rPr>
            </w:pPr>
            <w:r w:rsidRPr="00364BC6">
              <w:rPr>
                <w:rFonts w:ascii="Arial" w:hAnsi="Arial" w:cs="Arial"/>
                <w:sz w:val="20"/>
                <w:szCs w:val="20"/>
                <w:lang w:val="en-ZA"/>
              </w:rPr>
              <w:t>with the previous financial year/period’s estimates together with</w:t>
            </w:r>
          </w:p>
          <w:p w14:paraId="24476BFF" w14:textId="77777777" w:rsidR="00364BC6" w:rsidRPr="00364BC6" w:rsidRDefault="00364BC6" w:rsidP="00364BC6">
            <w:pPr>
              <w:autoSpaceDE w:val="0"/>
              <w:autoSpaceDN w:val="0"/>
              <w:adjustRightInd w:val="0"/>
              <w:rPr>
                <w:rFonts w:ascii="Arial" w:hAnsi="Arial" w:cs="Arial"/>
                <w:sz w:val="20"/>
                <w:szCs w:val="20"/>
                <w:lang w:val="en-ZA"/>
              </w:rPr>
            </w:pPr>
            <w:r w:rsidRPr="00364BC6">
              <w:rPr>
                <w:rFonts w:ascii="Arial" w:hAnsi="Arial" w:cs="Arial"/>
                <w:sz w:val="20"/>
                <w:szCs w:val="20"/>
                <w:lang w:val="en-ZA"/>
              </w:rPr>
              <w:t>explanations of material differences;</w:t>
            </w:r>
          </w:p>
          <w:p w14:paraId="6306E030" w14:textId="77777777" w:rsidR="00364BC6" w:rsidRPr="00364BC6" w:rsidRDefault="00364BC6" w:rsidP="00364BC6">
            <w:pPr>
              <w:autoSpaceDE w:val="0"/>
              <w:autoSpaceDN w:val="0"/>
              <w:adjustRightInd w:val="0"/>
              <w:rPr>
                <w:rFonts w:ascii="Arial" w:hAnsi="Arial" w:cs="Arial"/>
                <w:sz w:val="20"/>
                <w:szCs w:val="20"/>
                <w:lang w:val="en-ZA"/>
              </w:rPr>
            </w:pPr>
            <w:r w:rsidRPr="00364BC6">
              <w:rPr>
                <w:rFonts w:ascii="Arial" w:hAnsi="Arial" w:cs="Arial"/>
                <w:sz w:val="20"/>
                <w:szCs w:val="20"/>
                <w:lang w:val="en-ZA"/>
              </w:rPr>
              <w:t>(viii) whether or not the inferred mineral resource category has been</w:t>
            </w:r>
          </w:p>
          <w:p w14:paraId="19D38761" w14:textId="77777777" w:rsidR="00364BC6" w:rsidRPr="00364BC6" w:rsidRDefault="00364BC6" w:rsidP="00364BC6">
            <w:pPr>
              <w:autoSpaceDE w:val="0"/>
              <w:autoSpaceDN w:val="0"/>
              <w:adjustRightInd w:val="0"/>
              <w:rPr>
                <w:rFonts w:ascii="Arial" w:hAnsi="Arial" w:cs="Arial"/>
                <w:sz w:val="20"/>
                <w:szCs w:val="20"/>
                <w:lang w:val="en-ZA"/>
              </w:rPr>
            </w:pPr>
            <w:r w:rsidRPr="00364BC6">
              <w:rPr>
                <w:rFonts w:ascii="Arial" w:hAnsi="Arial" w:cs="Arial"/>
                <w:sz w:val="20"/>
                <w:szCs w:val="20"/>
                <w:lang w:val="en-ZA"/>
              </w:rPr>
              <w:t>included in feasibility studies and, if so, the impact of such inclusion;</w:t>
            </w:r>
          </w:p>
          <w:p w14:paraId="62FD43F7" w14:textId="77777777" w:rsidR="00364BC6" w:rsidRPr="00364BC6" w:rsidRDefault="00364BC6" w:rsidP="00364BC6">
            <w:pPr>
              <w:autoSpaceDE w:val="0"/>
              <w:autoSpaceDN w:val="0"/>
              <w:adjustRightInd w:val="0"/>
              <w:rPr>
                <w:rFonts w:ascii="Arial" w:hAnsi="Arial" w:cs="Arial"/>
                <w:sz w:val="20"/>
                <w:szCs w:val="20"/>
                <w:lang w:val="en-ZA"/>
              </w:rPr>
            </w:pPr>
            <w:r w:rsidRPr="00364BC6">
              <w:rPr>
                <w:rFonts w:ascii="Arial" w:hAnsi="Arial" w:cs="Arial"/>
                <w:sz w:val="20"/>
                <w:szCs w:val="20"/>
                <w:lang w:val="en-ZA"/>
              </w:rPr>
              <w:t>(ix) any material risk factors that could impact on the mineral resource</w:t>
            </w:r>
          </w:p>
          <w:p w14:paraId="29254F9F" w14:textId="77777777" w:rsidR="00364BC6" w:rsidRPr="00364BC6" w:rsidRDefault="00364BC6" w:rsidP="00364BC6">
            <w:pPr>
              <w:autoSpaceDE w:val="0"/>
              <w:autoSpaceDN w:val="0"/>
              <w:adjustRightInd w:val="0"/>
              <w:rPr>
                <w:rFonts w:ascii="Arial" w:hAnsi="Arial" w:cs="Arial"/>
                <w:sz w:val="20"/>
                <w:szCs w:val="20"/>
                <w:lang w:val="en-ZA"/>
              </w:rPr>
            </w:pPr>
            <w:r w:rsidRPr="00364BC6">
              <w:rPr>
                <w:rFonts w:ascii="Arial" w:hAnsi="Arial" w:cs="Arial"/>
                <w:sz w:val="20"/>
                <w:szCs w:val="20"/>
                <w:lang w:val="en-ZA"/>
              </w:rPr>
              <w:t>and reserve statement;</w:t>
            </w:r>
          </w:p>
          <w:p w14:paraId="176C4807" w14:textId="77777777" w:rsidR="00364BC6" w:rsidRPr="00364BC6" w:rsidRDefault="00364BC6" w:rsidP="00364BC6">
            <w:pPr>
              <w:autoSpaceDE w:val="0"/>
              <w:autoSpaceDN w:val="0"/>
              <w:adjustRightInd w:val="0"/>
              <w:rPr>
                <w:rFonts w:ascii="Arial" w:hAnsi="Arial" w:cs="Arial"/>
                <w:sz w:val="20"/>
                <w:szCs w:val="20"/>
                <w:lang w:val="en-ZA"/>
              </w:rPr>
            </w:pPr>
            <w:r w:rsidRPr="00364BC6">
              <w:rPr>
                <w:rFonts w:ascii="Arial" w:hAnsi="Arial" w:cs="Arial"/>
                <w:sz w:val="20"/>
                <w:szCs w:val="20"/>
                <w:lang w:val="en-ZA"/>
              </w:rPr>
              <w:t>(x) a statement by the directors on any legal proceedings or other</w:t>
            </w:r>
          </w:p>
          <w:p w14:paraId="3013F00A" w14:textId="77777777" w:rsidR="00364BC6" w:rsidRPr="00364BC6" w:rsidRDefault="00364BC6" w:rsidP="00364BC6">
            <w:pPr>
              <w:autoSpaceDE w:val="0"/>
              <w:autoSpaceDN w:val="0"/>
              <w:adjustRightInd w:val="0"/>
              <w:rPr>
                <w:rFonts w:ascii="Arial" w:hAnsi="Arial" w:cs="Arial"/>
                <w:sz w:val="20"/>
                <w:szCs w:val="20"/>
                <w:lang w:val="en-ZA"/>
              </w:rPr>
            </w:pPr>
            <w:r w:rsidRPr="00364BC6">
              <w:rPr>
                <w:rFonts w:ascii="Arial" w:hAnsi="Arial" w:cs="Arial"/>
                <w:sz w:val="20"/>
                <w:szCs w:val="20"/>
                <w:lang w:val="en-ZA"/>
              </w:rPr>
              <w:t>material conditions that may impact on the company’s ability to</w:t>
            </w:r>
          </w:p>
          <w:p w14:paraId="07EC6BA7" w14:textId="77777777" w:rsidR="00364BC6" w:rsidRPr="00364BC6" w:rsidRDefault="00364BC6" w:rsidP="00364BC6">
            <w:pPr>
              <w:autoSpaceDE w:val="0"/>
              <w:autoSpaceDN w:val="0"/>
              <w:adjustRightInd w:val="0"/>
              <w:rPr>
                <w:rFonts w:ascii="Arial" w:hAnsi="Arial" w:cs="Arial"/>
                <w:sz w:val="20"/>
                <w:szCs w:val="20"/>
                <w:lang w:val="en-ZA"/>
              </w:rPr>
            </w:pPr>
            <w:r w:rsidRPr="00364BC6">
              <w:rPr>
                <w:rFonts w:ascii="Arial" w:hAnsi="Arial" w:cs="Arial"/>
                <w:sz w:val="20"/>
                <w:szCs w:val="20"/>
                <w:lang w:val="en-ZA"/>
              </w:rPr>
              <w:t>continue mining or exploration activities, or an appropriate negative</w:t>
            </w:r>
          </w:p>
          <w:p w14:paraId="13EAAC1B" w14:textId="77777777" w:rsidR="00364BC6" w:rsidRPr="00364BC6" w:rsidRDefault="00364BC6" w:rsidP="00364BC6">
            <w:pPr>
              <w:autoSpaceDE w:val="0"/>
              <w:autoSpaceDN w:val="0"/>
              <w:adjustRightInd w:val="0"/>
              <w:rPr>
                <w:rFonts w:ascii="Arial" w:hAnsi="Arial" w:cs="Arial"/>
                <w:sz w:val="20"/>
                <w:szCs w:val="20"/>
                <w:lang w:val="en-ZA"/>
              </w:rPr>
            </w:pPr>
            <w:r w:rsidRPr="00364BC6">
              <w:rPr>
                <w:rFonts w:ascii="Arial" w:hAnsi="Arial" w:cs="Arial"/>
                <w:sz w:val="20"/>
                <w:szCs w:val="20"/>
                <w:lang w:val="en-ZA"/>
              </w:rPr>
              <w:t>statement;</w:t>
            </w:r>
          </w:p>
          <w:p w14:paraId="2CD93165" w14:textId="77777777" w:rsidR="00364BC6" w:rsidRPr="00364BC6" w:rsidRDefault="00364BC6" w:rsidP="00364BC6">
            <w:pPr>
              <w:autoSpaceDE w:val="0"/>
              <w:autoSpaceDN w:val="0"/>
              <w:adjustRightInd w:val="0"/>
              <w:rPr>
                <w:rFonts w:ascii="Arial" w:hAnsi="Arial" w:cs="Arial"/>
                <w:sz w:val="20"/>
                <w:szCs w:val="20"/>
                <w:lang w:val="en-ZA"/>
              </w:rPr>
            </w:pPr>
            <w:r w:rsidRPr="00364BC6">
              <w:rPr>
                <w:rFonts w:ascii="Arial" w:hAnsi="Arial" w:cs="Arial"/>
                <w:sz w:val="20"/>
                <w:szCs w:val="20"/>
                <w:lang w:val="en-ZA"/>
              </w:rPr>
              <w:t>(xi) appropriate locality maps and plans;</w:t>
            </w:r>
          </w:p>
          <w:p w14:paraId="2348C244" w14:textId="77777777" w:rsidR="00364BC6" w:rsidRPr="00364BC6" w:rsidRDefault="00364BC6" w:rsidP="00364BC6">
            <w:pPr>
              <w:autoSpaceDE w:val="0"/>
              <w:autoSpaceDN w:val="0"/>
              <w:adjustRightInd w:val="0"/>
              <w:rPr>
                <w:rFonts w:ascii="Arial" w:hAnsi="Arial" w:cs="Arial"/>
                <w:sz w:val="20"/>
                <w:szCs w:val="20"/>
                <w:lang w:val="en-ZA"/>
              </w:rPr>
            </w:pPr>
            <w:r w:rsidRPr="00364BC6">
              <w:rPr>
                <w:rFonts w:ascii="Arial" w:hAnsi="Arial" w:cs="Arial"/>
                <w:sz w:val="20"/>
                <w:szCs w:val="20"/>
                <w:lang w:val="en-ZA"/>
              </w:rPr>
              <w:t>(xii) a summary of environmental management and funding; and</w:t>
            </w:r>
          </w:p>
          <w:p w14:paraId="395164A0" w14:textId="77777777" w:rsidR="00364BC6" w:rsidRPr="00364BC6" w:rsidRDefault="00364BC6" w:rsidP="00364BC6">
            <w:pPr>
              <w:autoSpaceDE w:val="0"/>
              <w:autoSpaceDN w:val="0"/>
              <w:adjustRightInd w:val="0"/>
              <w:rPr>
                <w:rFonts w:ascii="Arial" w:hAnsi="Arial" w:cs="Arial"/>
                <w:sz w:val="20"/>
                <w:szCs w:val="20"/>
                <w:lang w:val="en-ZA"/>
              </w:rPr>
            </w:pPr>
            <w:r w:rsidRPr="00364BC6">
              <w:rPr>
                <w:rFonts w:ascii="Arial" w:hAnsi="Arial" w:cs="Arial"/>
                <w:sz w:val="20"/>
                <w:szCs w:val="20"/>
                <w:lang w:val="en-ZA"/>
              </w:rPr>
              <w:t>(xiii) a summary of the governance arrangements and internal controls that</w:t>
            </w:r>
          </w:p>
          <w:p w14:paraId="028E1144" w14:textId="77777777" w:rsidR="00364BC6" w:rsidRPr="00364BC6" w:rsidRDefault="00364BC6" w:rsidP="00364BC6">
            <w:pPr>
              <w:autoSpaceDE w:val="0"/>
              <w:autoSpaceDN w:val="0"/>
              <w:adjustRightInd w:val="0"/>
              <w:rPr>
                <w:rFonts w:ascii="Arial" w:hAnsi="Arial" w:cs="Arial"/>
                <w:sz w:val="20"/>
                <w:szCs w:val="20"/>
                <w:lang w:val="en-ZA"/>
              </w:rPr>
            </w:pPr>
            <w:r w:rsidRPr="00364BC6">
              <w:rPr>
                <w:rFonts w:ascii="Arial" w:hAnsi="Arial" w:cs="Arial"/>
                <w:sz w:val="20"/>
                <w:szCs w:val="20"/>
                <w:lang w:val="en-ZA"/>
              </w:rPr>
              <w:t>the issuer has put in place with respect to its estimates of mineral</w:t>
            </w:r>
          </w:p>
          <w:p w14:paraId="1F390797" w14:textId="77777777" w:rsidR="00364BC6" w:rsidRPr="00364BC6" w:rsidRDefault="00364BC6" w:rsidP="00364BC6">
            <w:pPr>
              <w:autoSpaceDE w:val="0"/>
              <w:autoSpaceDN w:val="0"/>
              <w:adjustRightInd w:val="0"/>
              <w:rPr>
                <w:rFonts w:ascii="Arial" w:hAnsi="Arial" w:cs="Arial"/>
                <w:sz w:val="20"/>
                <w:szCs w:val="20"/>
                <w:lang w:val="en-ZA"/>
              </w:rPr>
            </w:pPr>
            <w:r w:rsidRPr="00364BC6">
              <w:rPr>
                <w:rFonts w:ascii="Arial" w:hAnsi="Arial" w:cs="Arial"/>
                <w:sz w:val="20"/>
                <w:szCs w:val="20"/>
                <w:lang w:val="en-ZA"/>
              </w:rPr>
              <w:t>resources and mineral reserves and the estimation process.</w:t>
            </w:r>
          </w:p>
          <w:p w14:paraId="06E97169" w14:textId="77777777" w:rsidR="005F6332" w:rsidRDefault="005F6332" w:rsidP="00364BC6">
            <w:pPr>
              <w:autoSpaceDE w:val="0"/>
              <w:autoSpaceDN w:val="0"/>
              <w:adjustRightInd w:val="0"/>
              <w:rPr>
                <w:rFonts w:ascii="Arial" w:hAnsi="Arial" w:cs="Arial"/>
                <w:sz w:val="20"/>
                <w:szCs w:val="20"/>
                <w:lang w:val="en-ZA"/>
              </w:rPr>
            </w:pPr>
          </w:p>
          <w:p w14:paraId="69E4F3F0" w14:textId="2E6C2C3A" w:rsidR="00364BC6" w:rsidRPr="00364BC6" w:rsidRDefault="00364BC6" w:rsidP="00364BC6">
            <w:pPr>
              <w:autoSpaceDE w:val="0"/>
              <w:autoSpaceDN w:val="0"/>
              <w:adjustRightInd w:val="0"/>
              <w:rPr>
                <w:rFonts w:ascii="Arial" w:hAnsi="Arial" w:cs="Arial"/>
                <w:sz w:val="20"/>
                <w:szCs w:val="20"/>
                <w:lang w:val="en-ZA"/>
              </w:rPr>
            </w:pPr>
            <w:r w:rsidRPr="00364BC6">
              <w:rPr>
                <w:rFonts w:ascii="Arial" w:hAnsi="Arial" w:cs="Arial"/>
                <w:sz w:val="20"/>
                <w:szCs w:val="20"/>
                <w:lang w:val="en-ZA"/>
              </w:rPr>
              <w:t>(d) Exploration: Disclosure of the following, where applicable:</w:t>
            </w:r>
          </w:p>
          <w:p w14:paraId="0F6F24FE" w14:textId="77777777" w:rsidR="00364BC6" w:rsidRPr="00364BC6" w:rsidRDefault="00364BC6" w:rsidP="00364BC6">
            <w:pPr>
              <w:autoSpaceDE w:val="0"/>
              <w:autoSpaceDN w:val="0"/>
              <w:adjustRightInd w:val="0"/>
              <w:rPr>
                <w:rFonts w:ascii="Arial" w:hAnsi="Arial" w:cs="Arial"/>
                <w:sz w:val="20"/>
                <w:szCs w:val="20"/>
                <w:lang w:val="en-ZA"/>
              </w:rPr>
            </w:pPr>
            <w:r w:rsidRPr="00364BC6">
              <w:rPr>
                <w:rFonts w:ascii="Arial" w:hAnsi="Arial" w:cs="Arial"/>
                <w:sz w:val="20"/>
                <w:szCs w:val="20"/>
                <w:lang w:val="en-ZA"/>
              </w:rPr>
              <w:t>(i) a brief description of any exploration activities, exploration</w:t>
            </w:r>
          </w:p>
          <w:p w14:paraId="35EADFD8" w14:textId="77777777" w:rsidR="00364BC6" w:rsidRPr="00364BC6" w:rsidRDefault="00364BC6" w:rsidP="00364BC6">
            <w:pPr>
              <w:autoSpaceDE w:val="0"/>
              <w:autoSpaceDN w:val="0"/>
              <w:adjustRightInd w:val="0"/>
              <w:rPr>
                <w:rFonts w:ascii="Arial" w:hAnsi="Arial" w:cs="Arial"/>
                <w:sz w:val="20"/>
                <w:szCs w:val="20"/>
                <w:lang w:val="en-ZA"/>
              </w:rPr>
            </w:pPr>
            <w:r w:rsidRPr="00364BC6">
              <w:rPr>
                <w:rFonts w:ascii="Arial" w:hAnsi="Arial" w:cs="Arial"/>
                <w:sz w:val="20"/>
                <w:szCs w:val="20"/>
                <w:lang w:val="en-ZA"/>
              </w:rPr>
              <w:t>expenditures, exploration results and technical studies undertaken;</w:t>
            </w:r>
          </w:p>
          <w:p w14:paraId="0E9A2475" w14:textId="77777777" w:rsidR="00364BC6" w:rsidRPr="00364BC6" w:rsidRDefault="00364BC6" w:rsidP="00364BC6">
            <w:pPr>
              <w:autoSpaceDE w:val="0"/>
              <w:autoSpaceDN w:val="0"/>
              <w:adjustRightInd w:val="0"/>
              <w:rPr>
                <w:rFonts w:ascii="Arial" w:hAnsi="Arial" w:cs="Arial"/>
                <w:sz w:val="20"/>
                <w:szCs w:val="20"/>
                <w:lang w:val="en-ZA"/>
              </w:rPr>
            </w:pPr>
            <w:r w:rsidRPr="00364BC6">
              <w:rPr>
                <w:rFonts w:ascii="Arial" w:hAnsi="Arial" w:cs="Arial"/>
                <w:sz w:val="20"/>
                <w:szCs w:val="20"/>
                <w:lang w:val="en-ZA"/>
              </w:rPr>
              <w:t>(ii) summary information of previous exploration work done by other</w:t>
            </w:r>
          </w:p>
          <w:p w14:paraId="4A755ED1" w14:textId="77777777" w:rsidR="00364BC6" w:rsidRPr="00364BC6" w:rsidRDefault="00364BC6" w:rsidP="00364BC6">
            <w:pPr>
              <w:autoSpaceDE w:val="0"/>
              <w:autoSpaceDN w:val="0"/>
              <w:adjustRightInd w:val="0"/>
              <w:rPr>
                <w:rFonts w:ascii="Arial" w:hAnsi="Arial" w:cs="Arial"/>
                <w:sz w:val="20"/>
                <w:szCs w:val="20"/>
                <w:lang w:val="en-ZA"/>
              </w:rPr>
            </w:pPr>
            <w:r w:rsidRPr="00364BC6">
              <w:rPr>
                <w:rFonts w:ascii="Arial" w:hAnsi="Arial" w:cs="Arial"/>
                <w:sz w:val="20"/>
                <w:szCs w:val="20"/>
                <w:lang w:val="en-ZA"/>
              </w:rPr>
              <w:t>parties on the property;</w:t>
            </w:r>
          </w:p>
          <w:p w14:paraId="13C34840" w14:textId="77777777" w:rsidR="00364BC6" w:rsidRPr="00364BC6" w:rsidRDefault="00364BC6" w:rsidP="00364BC6">
            <w:pPr>
              <w:autoSpaceDE w:val="0"/>
              <w:autoSpaceDN w:val="0"/>
              <w:adjustRightInd w:val="0"/>
              <w:rPr>
                <w:rFonts w:ascii="Arial" w:hAnsi="Arial" w:cs="Arial"/>
                <w:sz w:val="20"/>
                <w:szCs w:val="20"/>
                <w:lang w:val="en-ZA"/>
              </w:rPr>
            </w:pPr>
            <w:r w:rsidRPr="00364BC6">
              <w:rPr>
                <w:rFonts w:ascii="Arial" w:hAnsi="Arial" w:cs="Arial"/>
                <w:sz w:val="20"/>
                <w:szCs w:val="20"/>
                <w:lang w:val="en-ZA"/>
              </w:rPr>
              <w:t>(iii) summary information on the data density and distribution;</w:t>
            </w:r>
          </w:p>
          <w:p w14:paraId="45B78E4D" w14:textId="77777777" w:rsidR="00364BC6" w:rsidRPr="00364BC6" w:rsidRDefault="00364BC6" w:rsidP="00364BC6">
            <w:pPr>
              <w:autoSpaceDE w:val="0"/>
              <w:autoSpaceDN w:val="0"/>
              <w:adjustRightInd w:val="0"/>
              <w:rPr>
                <w:rFonts w:ascii="Arial" w:hAnsi="Arial" w:cs="Arial"/>
                <w:sz w:val="20"/>
                <w:szCs w:val="20"/>
                <w:lang w:val="en-ZA"/>
              </w:rPr>
            </w:pPr>
            <w:r w:rsidRPr="00364BC6">
              <w:rPr>
                <w:rFonts w:ascii="Arial" w:hAnsi="Arial" w:cs="Arial"/>
                <w:sz w:val="20"/>
                <w:szCs w:val="20"/>
                <w:lang w:val="en-ZA"/>
              </w:rPr>
              <w:t>(iv) exploration results not incorporated in the mineral resource and</w:t>
            </w:r>
          </w:p>
          <w:p w14:paraId="2DDAEBA7" w14:textId="77777777" w:rsidR="00364BC6" w:rsidRPr="00364BC6" w:rsidRDefault="00364BC6" w:rsidP="00364BC6">
            <w:pPr>
              <w:autoSpaceDE w:val="0"/>
              <w:autoSpaceDN w:val="0"/>
              <w:adjustRightInd w:val="0"/>
              <w:rPr>
                <w:rFonts w:ascii="Arial" w:hAnsi="Arial" w:cs="Arial"/>
                <w:sz w:val="20"/>
                <w:szCs w:val="20"/>
                <w:lang w:val="en-ZA"/>
              </w:rPr>
            </w:pPr>
            <w:r w:rsidRPr="00364BC6">
              <w:rPr>
                <w:rFonts w:ascii="Arial" w:hAnsi="Arial" w:cs="Arial"/>
                <w:sz w:val="20"/>
                <w:szCs w:val="20"/>
                <w:lang w:val="en-ZA"/>
              </w:rPr>
              <w:t>mineral reserve statement including the following, where applicable,</w:t>
            </w:r>
          </w:p>
          <w:p w14:paraId="428F2AAD" w14:textId="77777777" w:rsidR="00364BC6" w:rsidRPr="00364BC6" w:rsidRDefault="00364BC6" w:rsidP="00364BC6">
            <w:pPr>
              <w:autoSpaceDE w:val="0"/>
              <w:autoSpaceDN w:val="0"/>
              <w:adjustRightInd w:val="0"/>
              <w:rPr>
                <w:rFonts w:ascii="Arial" w:hAnsi="Arial" w:cs="Arial"/>
                <w:sz w:val="20"/>
                <w:szCs w:val="20"/>
                <w:lang w:val="en-ZA"/>
              </w:rPr>
            </w:pPr>
            <w:r w:rsidRPr="00364BC6">
              <w:rPr>
                <w:rFonts w:ascii="Arial" w:hAnsi="Arial" w:cs="Arial"/>
                <w:sz w:val="20"/>
                <w:szCs w:val="20"/>
                <w:lang w:val="en-ZA"/>
              </w:rPr>
              <w:t>or a qualified negative statement:</w:t>
            </w:r>
          </w:p>
          <w:p w14:paraId="096513DB" w14:textId="44B06F6F" w:rsidR="00364BC6" w:rsidRPr="00364BC6" w:rsidRDefault="00364BC6" w:rsidP="00364BC6">
            <w:pPr>
              <w:autoSpaceDE w:val="0"/>
              <w:autoSpaceDN w:val="0"/>
              <w:adjustRightInd w:val="0"/>
              <w:rPr>
                <w:rFonts w:ascii="Arial" w:hAnsi="Arial" w:cs="Arial"/>
                <w:sz w:val="20"/>
                <w:szCs w:val="20"/>
                <w:lang w:val="en-ZA"/>
              </w:rPr>
            </w:pPr>
            <w:r w:rsidRPr="00364BC6">
              <w:rPr>
                <w:rFonts w:ascii="Arial" w:hAnsi="Arial" w:cs="Arial"/>
                <w:sz w:val="20"/>
                <w:szCs w:val="20"/>
                <w:lang w:val="en-ZA"/>
              </w:rPr>
              <w:t>(aa) the relationship between mineralisation true widths and</w:t>
            </w:r>
          </w:p>
          <w:p w14:paraId="05B76658" w14:textId="77777777" w:rsidR="00364BC6" w:rsidRPr="00364BC6" w:rsidRDefault="00364BC6" w:rsidP="00364BC6">
            <w:pPr>
              <w:autoSpaceDE w:val="0"/>
              <w:autoSpaceDN w:val="0"/>
              <w:adjustRightInd w:val="0"/>
              <w:rPr>
                <w:rFonts w:ascii="Arial" w:hAnsi="Arial" w:cs="Arial"/>
                <w:sz w:val="20"/>
                <w:szCs w:val="20"/>
                <w:lang w:val="en-ZA"/>
              </w:rPr>
            </w:pPr>
            <w:r w:rsidRPr="00364BC6">
              <w:rPr>
                <w:rFonts w:ascii="Arial" w:hAnsi="Arial" w:cs="Arial"/>
                <w:sz w:val="20"/>
                <w:szCs w:val="20"/>
                <w:lang w:val="en-ZA"/>
              </w:rPr>
              <w:t>intercept lengths;</w:t>
            </w:r>
          </w:p>
          <w:p w14:paraId="67DDF0C5" w14:textId="77777777" w:rsidR="00364BC6" w:rsidRDefault="00364BC6" w:rsidP="00364BC6">
            <w:pPr>
              <w:autoSpaceDE w:val="0"/>
              <w:autoSpaceDN w:val="0"/>
              <w:adjustRightInd w:val="0"/>
              <w:rPr>
                <w:rFonts w:ascii="TimesNewRoman" w:hAnsi="TimesNewRoman" w:cs="TimesNewRoman"/>
                <w:sz w:val="22"/>
                <w:szCs w:val="22"/>
                <w:lang w:val="en-ZA"/>
              </w:rPr>
            </w:pPr>
            <w:r w:rsidRPr="00364BC6">
              <w:rPr>
                <w:rFonts w:ascii="Arial" w:hAnsi="Arial" w:cs="Arial"/>
                <w:sz w:val="20"/>
                <w:szCs w:val="20"/>
                <w:lang w:val="en-ZA"/>
              </w:rPr>
              <w:t>(bb) data and grade compositing methods and</w:t>
            </w:r>
            <w:r>
              <w:rPr>
                <w:rFonts w:ascii="TimesNewRoman" w:hAnsi="TimesNewRoman" w:cs="TimesNewRoman"/>
                <w:sz w:val="22"/>
                <w:szCs w:val="22"/>
                <w:lang w:val="en-ZA"/>
              </w:rPr>
              <w:t xml:space="preserve"> the basis for</w:t>
            </w:r>
          </w:p>
          <w:p w14:paraId="486A9540" w14:textId="77777777" w:rsidR="00364BC6" w:rsidRPr="00364BC6" w:rsidRDefault="00364BC6" w:rsidP="00364BC6">
            <w:pPr>
              <w:autoSpaceDE w:val="0"/>
              <w:autoSpaceDN w:val="0"/>
              <w:adjustRightInd w:val="0"/>
              <w:rPr>
                <w:rFonts w:ascii="Arial" w:hAnsi="Arial" w:cs="Arial"/>
                <w:sz w:val="20"/>
                <w:szCs w:val="20"/>
                <w:lang w:val="en-ZA"/>
              </w:rPr>
            </w:pPr>
            <w:r w:rsidRPr="00364BC6">
              <w:rPr>
                <w:rFonts w:ascii="Arial" w:hAnsi="Arial" w:cs="Arial"/>
                <w:sz w:val="20"/>
                <w:szCs w:val="20"/>
                <w:lang w:val="en-ZA"/>
              </w:rPr>
              <w:t>mineral equivalent calculations;</w:t>
            </w:r>
          </w:p>
          <w:p w14:paraId="3BEC905E" w14:textId="77777777" w:rsidR="00364BC6" w:rsidRPr="00364BC6" w:rsidRDefault="00364BC6" w:rsidP="00364BC6">
            <w:pPr>
              <w:autoSpaceDE w:val="0"/>
              <w:autoSpaceDN w:val="0"/>
              <w:adjustRightInd w:val="0"/>
              <w:rPr>
                <w:rFonts w:ascii="Arial" w:hAnsi="Arial" w:cs="Arial"/>
                <w:sz w:val="20"/>
                <w:szCs w:val="20"/>
                <w:lang w:val="en-ZA"/>
              </w:rPr>
            </w:pPr>
            <w:r w:rsidRPr="00364BC6">
              <w:rPr>
                <w:rFonts w:ascii="Arial" w:hAnsi="Arial" w:cs="Arial"/>
                <w:sz w:val="20"/>
                <w:szCs w:val="20"/>
                <w:lang w:val="en-ZA"/>
              </w:rPr>
              <w:t>(cc) for poly-metallic mineralisation or multi-commodity projects,</w:t>
            </w:r>
          </w:p>
          <w:p w14:paraId="7D6B3100" w14:textId="77777777" w:rsidR="00364BC6" w:rsidRPr="00364BC6" w:rsidRDefault="00364BC6" w:rsidP="00364BC6">
            <w:pPr>
              <w:autoSpaceDE w:val="0"/>
              <w:autoSpaceDN w:val="0"/>
              <w:adjustRightInd w:val="0"/>
              <w:rPr>
                <w:rFonts w:ascii="Arial" w:hAnsi="Arial" w:cs="Arial"/>
                <w:sz w:val="20"/>
                <w:szCs w:val="20"/>
                <w:lang w:val="en-ZA"/>
              </w:rPr>
            </w:pPr>
            <w:r w:rsidRPr="00364BC6">
              <w:rPr>
                <w:rFonts w:ascii="Arial" w:hAnsi="Arial" w:cs="Arial"/>
                <w:sz w:val="20"/>
                <w:szCs w:val="20"/>
                <w:lang w:val="en-ZA"/>
              </w:rPr>
              <w:t>separate identification of the individual components;</w:t>
            </w:r>
          </w:p>
          <w:p w14:paraId="1443B873" w14:textId="77777777" w:rsidR="00364BC6" w:rsidRPr="00364BC6" w:rsidRDefault="00364BC6" w:rsidP="00364BC6">
            <w:pPr>
              <w:autoSpaceDE w:val="0"/>
              <w:autoSpaceDN w:val="0"/>
              <w:adjustRightInd w:val="0"/>
              <w:rPr>
                <w:rFonts w:ascii="Arial" w:hAnsi="Arial" w:cs="Arial"/>
                <w:sz w:val="20"/>
                <w:szCs w:val="20"/>
                <w:lang w:val="en-ZA"/>
              </w:rPr>
            </w:pPr>
            <w:r w:rsidRPr="00364BC6">
              <w:rPr>
                <w:rFonts w:ascii="Arial" w:hAnsi="Arial" w:cs="Arial"/>
                <w:sz w:val="20"/>
                <w:szCs w:val="20"/>
                <w:lang w:val="en-ZA"/>
              </w:rPr>
              <w:t>(dd) the representivity of reported results;</w:t>
            </w:r>
          </w:p>
          <w:p w14:paraId="0507D98A" w14:textId="77777777" w:rsidR="00364BC6" w:rsidRPr="00364BC6" w:rsidRDefault="00364BC6" w:rsidP="00364BC6">
            <w:pPr>
              <w:autoSpaceDE w:val="0"/>
              <w:autoSpaceDN w:val="0"/>
              <w:adjustRightInd w:val="0"/>
              <w:rPr>
                <w:rFonts w:ascii="Arial" w:hAnsi="Arial" w:cs="Arial"/>
                <w:sz w:val="20"/>
                <w:szCs w:val="20"/>
                <w:lang w:val="en-ZA"/>
              </w:rPr>
            </w:pPr>
            <w:r w:rsidRPr="00364BC6">
              <w:rPr>
                <w:rFonts w:ascii="Arial" w:hAnsi="Arial" w:cs="Arial"/>
                <w:sz w:val="20"/>
                <w:szCs w:val="20"/>
                <w:lang w:val="en-ZA"/>
              </w:rPr>
              <w:t>(ee) other substantive exploration data and results;</w:t>
            </w:r>
          </w:p>
          <w:p w14:paraId="19313ABB" w14:textId="77777777" w:rsidR="00364BC6" w:rsidRPr="00364BC6" w:rsidRDefault="00364BC6" w:rsidP="00364BC6">
            <w:pPr>
              <w:autoSpaceDE w:val="0"/>
              <w:autoSpaceDN w:val="0"/>
              <w:adjustRightInd w:val="0"/>
              <w:rPr>
                <w:rFonts w:ascii="Arial" w:hAnsi="Arial" w:cs="Arial"/>
                <w:sz w:val="20"/>
                <w:szCs w:val="20"/>
                <w:lang w:val="en-ZA"/>
              </w:rPr>
            </w:pPr>
            <w:r w:rsidRPr="00364BC6">
              <w:rPr>
                <w:rFonts w:ascii="Arial" w:hAnsi="Arial" w:cs="Arial"/>
                <w:sz w:val="20"/>
                <w:szCs w:val="20"/>
                <w:lang w:val="en-ZA"/>
              </w:rPr>
              <w:lastRenderedPageBreak/>
              <w:t>(ff) comment on future exploration work;</w:t>
            </w:r>
          </w:p>
          <w:p w14:paraId="10A6E93C" w14:textId="77777777" w:rsidR="00364BC6" w:rsidRPr="00364BC6" w:rsidRDefault="00364BC6" w:rsidP="00364BC6">
            <w:pPr>
              <w:autoSpaceDE w:val="0"/>
              <w:autoSpaceDN w:val="0"/>
              <w:adjustRightInd w:val="0"/>
              <w:rPr>
                <w:rFonts w:ascii="Arial" w:hAnsi="Arial" w:cs="Arial"/>
                <w:sz w:val="20"/>
                <w:szCs w:val="20"/>
                <w:lang w:val="en-ZA"/>
              </w:rPr>
            </w:pPr>
            <w:r w:rsidRPr="00364BC6">
              <w:rPr>
                <w:rFonts w:ascii="Arial" w:hAnsi="Arial" w:cs="Arial"/>
                <w:sz w:val="20"/>
                <w:szCs w:val="20"/>
                <w:lang w:val="en-ZA"/>
              </w:rPr>
              <w:t>(gg) the basic tonnage/volume, grade/quality and economic</w:t>
            </w:r>
          </w:p>
          <w:p w14:paraId="6E4E5958" w14:textId="77777777" w:rsidR="00364BC6" w:rsidRPr="00364BC6" w:rsidRDefault="00364BC6" w:rsidP="00364BC6">
            <w:pPr>
              <w:autoSpaceDE w:val="0"/>
              <w:autoSpaceDN w:val="0"/>
              <w:adjustRightInd w:val="0"/>
              <w:rPr>
                <w:rFonts w:ascii="Arial" w:hAnsi="Arial" w:cs="Arial"/>
                <w:sz w:val="20"/>
                <w:szCs w:val="20"/>
                <w:lang w:val="en-ZA"/>
              </w:rPr>
            </w:pPr>
            <w:r w:rsidRPr="00364BC6">
              <w:rPr>
                <w:rFonts w:ascii="Arial" w:hAnsi="Arial" w:cs="Arial"/>
                <w:sz w:val="20"/>
                <w:szCs w:val="20"/>
                <w:lang w:val="en-ZA"/>
              </w:rPr>
              <w:t>parameters for the exploration target; and</w:t>
            </w:r>
          </w:p>
          <w:p w14:paraId="4EC667CC" w14:textId="77777777" w:rsidR="00364BC6" w:rsidRPr="00364BC6" w:rsidRDefault="00364BC6" w:rsidP="00364BC6">
            <w:pPr>
              <w:autoSpaceDE w:val="0"/>
              <w:autoSpaceDN w:val="0"/>
              <w:adjustRightInd w:val="0"/>
              <w:rPr>
                <w:rFonts w:ascii="Arial" w:hAnsi="Arial" w:cs="Arial"/>
                <w:sz w:val="20"/>
                <w:szCs w:val="20"/>
                <w:lang w:val="en-ZA"/>
              </w:rPr>
            </w:pPr>
            <w:r w:rsidRPr="00364BC6">
              <w:rPr>
                <w:rFonts w:ascii="Arial" w:hAnsi="Arial" w:cs="Arial"/>
                <w:sz w:val="20"/>
                <w:szCs w:val="20"/>
                <w:lang w:val="en-ZA"/>
              </w:rPr>
              <w:t>(hh) sample and assay laboratory quality assurance and quality</w:t>
            </w:r>
          </w:p>
          <w:p w14:paraId="2E6F168B" w14:textId="2C88ED6E" w:rsidR="00364BC6" w:rsidRPr="00C3397E" w:rsidDel="004E375D" w:rsidRDefault="00364BC6" w:rsidP="00364BC6">
            <w:pPr>
              <w:rPr>
                <w:rFonts w:ascii="Arial" w:hAnsi="Arial" w:cs="Arial"/>
                <w:iCs/>
                <w:sz w:val="20"/>
                <w:szCs w:val="20"/>
                <w:lang w:val="en-ZA"/>
              </w:rPr>
            </w:pPr>
            <w:r w:rsidRPr="00364BC6">
              <w:rPr>
                <w:rFonts w:ascii="Arial" w:hAnsi="Arial" w:cs="Arial"/>
                <w:sz w:val="20"/>
                <w:szCs w:val="20"/>
                <w:lang w:val="en-ZA"/>
              </w:rPr>
              <w:t>control procedures.</w:t>
            </w:r>
          </w:p>
        </w:tc>
      </w:tr>
      <w:tr w:rsidR="00763B2F" w:rsidRPr="004870BB" w:rsidDel="004E375D" w14:paraId="471598E6" w14:textId="710E2E2D" w:rsidTr="00C56709">
        <w:tc>
          <w:tcPr>
            <w:tcW w:w="524" w:type="dxa"/>
          </w:tcPr>
          <w:p w14:paraId="01A19CD6" w14:textId="77777777" w:rsidR="008661C0" w:rsidRPr="004870BB" w:rsidRDefault="008661C0" w:rsidP="00872BB2">
            <w:pPr>
              <w:numPr>
                <w:ilvl w:val="0"/>
                <w:numId w:val="2"/>
              </w:numPr>
              <w:spacing w:line="276" w:lineRule="auto"/>
              <w:rPr>
                <w:rFonts w:ascii="Arial" w:hAnsi="Arial" w:cs="Arial"/>
                <w:iCs/>
                <w:sz w:val="20"/>
                <w:szCs w:val="20"/>
              </w:rPr>
            </w:pPr>
          </w:p>
        </w:tc>
        <w:tc>
          <w:tcPr>
            <w:tcW w:w="2170" w:type="dxa"/>
          </w:tcPr>
          <w:p w14:paraId="300A5E56" w14:textId="2BF2D53E" w:rsidR="008661C0" w:rsidRPr="004870BB" w:rsidRDefault="00160D49" w:rsidP="00D14313">
            <w:pPr>
              <w:rPr>
                <w:rFonts w:ascii="Arial" w:hAnsi="Arial" w:cs="Arial"/>
                <w:b/>
                <w:bCs/>
                <w:iCs/>
                <w:sz w:val="20"/>
                <w:szCs w:val="20"/>
              </w:rPr>
            </w:pPr>
            <w:r>
              <w:rPr>
                <w:rFonts w:ascii="Arial" w:hAnsi="Arial" w:cs="Arial"/>
                <w:iCs/>
                <w:sz w:val="20"/>
                <w:szCs w:val="20"/>
              </w:rPr>
              <w:t>11.38(h)</w:t>
            </w:r>
          </w:p>
        </w:tc>
        <w:tc>
          <w:tcPr>
            <w:tcW w:w="3118" w:type="dxa"/>
          </w:tcPr>
          <w:p w14:paraId="18D1E39C" w14:textId="77777777" w:rsidR="008661C0" w:rsidRPr="004870BB" w:rsidDel="004E375D" w:rsidRDefault="008661C0" w:rsidP="00D14313">
            <w:pPr>
              <w:rPr>
                <w:rFonts w:ascii="Arial" w:hAnsi="Arial" w:cs="Arial"/>
                <w:iCs/>
                <w:sz w:val="20"/>
                <w:szCs w:val="20"/>
              </w:rPr>
            </w:pPr>
          </w:p>
        </w:tc>
        <w:tc>
          <w:tcPr>
            <w:tcW w:w="8080" w:type="dxa"/>
          </w:tcPr>
          <w:p w14:paraId="480E69AF" w14:textId="76F80334" w:rsidR="008661C0" w:rsidRPr="004870BB" w:rsidDel="004E375D" w:rsidRDefault="00C3397E" w:rsidP="00D14313">
            <w:pPr>
              <w:rPr>
                <w:rFonts w:ascii="Arial" w:hAnsi="Arial" w:cs="Arial"/>
                <w:iCs/>
                <w:sz w:val="20"/>
                <w:szCs w:val="20"/>
              </w:rPr>
            </w:pPr>
            <w:r>
              <w:rPr>
                <w:rFonts w:ascii="Arial" w:hAnsi="Arial" w:cs="Arial"/>
                <w:iCs/>
                <w:sz w:val="20"/>
                <w:szCs w:val="20"/>
                <w:lang w:val="en-ZA"/>
              </w:rPr>
              <w:t>T</w:t>
            </w:r>
            <w:r w:rsidR="0047440E" w:rsidRPr="0047440E">
              <w:rPr>
                <w:rFonts w:ascii="Arial" w:hAnsi="Arial" w:cs="Arial"/>
                <w:iCs/>
                <w:sz w:val="20"/>
                <w:szCs w:val="20"/>
                <w:lang w:val="en-ZA"/>
              </w:rPr>
              <w:t>he separate financial statements of the listed company for a South African company</w:t>
            </w:r>
          </w:p>
        </w:tc>
      </w:tr>
      <w:tr w:rsidR="00763B2F" w:rsidRPr="004870BB" w:rsidDel="004E375D" w14:paraId="64CE5DFC" w14:textId="340E10E3" w:rsidTr="00C56709">
        <w:tc>
          <w:tcPr>
            <w:tcW w:w="524" w:type="dxa"/>
          </w:tcPr>
          <w:p w14:paraId="22977ABF" w14:textId="77777777" w:rsidR="008661C0" w:rsidRPr="004870BB" w:rsidRDefault="008661C0" w:rsidP="00872BB2">
            <w:pPr>
              <w:numPr>
                <w:ilvl w:val="0"/>
                <w:numId w:val="2"/>
              </w:numPr>
              <w:spacing w:line="276" w:lineRule="auto"/>
              <w:rPr>
                <w:rFonts w:ascii="Arial" w:hAnsi="Arial" w:cs="Arial"/>
                <w:iCs/>
                <w:sz w:val="20"/>
                <w:szCs w:val="20"/>
              </w:rPr>
            </w:pPr>
          </w:p>
        </w:tc>
        <w:tc>
          <w:tcPr>
            <w:tcW w:w="2170" w:type="dxa"/>
          </w:tcPr>
          <w:p w14:paraId="284CC29C" w14:textId="724B8FC8" w:rsidR="008661C0" w:rsidRPr="004870BB" w:rsidRDefault="00160D49" w:rsidP="00D14313">
            <w:pPr>
              <w:rPr>
                <w:rFonts w:ascii="Arial" w:hAnsi="Arial" w:cs="Arial"/>
                <w:iCs/>
                <w:sz w:val="20"/>
                <w:szCs w:val="20"/>
              </w:rPr>
            </w:pPr>
            <w:r>
              <w:rPr>
                <w:rFonts w:ascii="Arial" w:hAnsi="Arial" w:cs="Arial"/>
                <w:iCs/>
                <w:sz w:val="20"/>
                <w:szCs w:val="20"/>
              </w:rPr>
              <w:t>11.38(i)</w:t>
            </w:r>
          </w:p>
        </w:tc>
        <w:tc>
          <w:tcPr>
            <w:tcW w:w="3118" w:type="dxa"/>
          </w:tcPr>
          <w:p w14:paraId="23D2B09E" w14:textId="77777777" w:rsidR="008661C0" w:rsidRPr="004870BB" w:rsidDel="004E375D" w:rsidRDefault="008661C0" w:rsidP="00D14313">
            <w:pPr>
              <w:rPr>
                <w:rFonts w:ascii="Arial" w:hAnsi="Arial" w:cs="Arial"/>
                <w:iCs/>
                <w:sz w:val="20"/>
                <w:szCs w:val="20"/>
              </w:rPr>
            </w:pPr>
          </w:p>
        </w:tc>
        <w:tc>
          <w:tcPr>
            <w:tcW w:w="8080" w:type="dxa"/>
          </w:tcPr>
          <w:p w14:paraId="1AAA9475" w14:textId="3F626E38" w:rsidR="008661C0" w:rsidRPr="004870BB" w:rsidDel="004E375D" w:rsidRDefault="00A0420B" w:rsidP="00D14313">
            <w:pPr>
              <w:rPr>
                <w:rFonts w:ascii="Arial" w:hAnsi="Arial" w:cs="Arial"/>
                <w:iCs/>
                <w:sz w:val="20"/>
                <w:szCs w:val="20"/>
              </w:rPr>
            </w:pPr>
            <w:r>
              <w:rPr>
                <w:rFonts w:ascii="Arial" w:hAnsi="Arial" w:cs="Arial"/>
                <w:iCs/>
                <w:sz w:val="20"/>
                <w:szCs w:val="20"/>
                <w:lang w:val="en-ZA"/>
              </w:rPr>
              <w:t>D</w:t>
            </w:r>
            <w:r w:rsidR="0047440E" w:rsidRPr="0047440E">
              <w:rPr>
                <w:rFonts w:ascii="Arial" w:hAnsi="Arial" w:cs="Arial"/>
                <w:iCs/>
                <w:sz w:val="20"/>
                <w:szCs w:val="20"/>
                <w:lang w:val="en-ZA"/>
              </w:rPr>
              <w:t>isclosure on the weighted voting share structure in terms of 2.76(b) – (f), if applicable; and</w:t>
            </w:r>
          </w:p>
        </w:tc>
      </w:tr>
      <w:tr w:rsidR="006A73CE" w:rsidRPr="004870BB" w:rsidDel="004E375D" w14:paraId="71EC378F" w14:textId="77777777" w:rsidTr="00C56709">
        <w:tc>
          <w:tcPr>
            <w:tcW w:w="524" w:type="dxa"/>
          </w:tcPr>
          <w:p w14:paraId="0F15C7FE" w14:textId="77777777" w:rsidR="006A73CE" w:rsidRPr="004870BB" w:rsidRDefault="006A73CE" w:rsidP="00872BB2">
            <w:pPr>
              <w:numPr>
                <w:ilvl w:val="0"/>
                <w:numId w:val="2"/>
              </w:numPr>
              <w:spacing w:line="276" w:lineRule="auto"/>
              <w:rPr>
                <w:rFonts w:ascii="Arial" w:hAnsi="Arial" w:cs="Arial"/>
                <w:iCs/>
                <w:sz w:val="20"/>
                <w:szCs w:val="20"/>
              </w:rPr>
            </w:pPr>
          </w:p>
        </w:tc>
        <w:tc>
          <w:tcPr>
            <w:tcW w:w="2170" w:type="dxa"/>
          </w:tcPr>
          <w:p w14:paraId="51A609A7" w14:textId="03F900A9" w:rsidR="006A73CE" w:rsidRDefault="001827BC" w:rsidP="00D14313">
            <w:pPr>
              <w:rPr>
                <w:rFonts w:ascii="Arial" w:hAnsi="Arial" w:cs="Arial"/>
                <w:iCs/>
                <w:sz w:val="20"/>
                <w:szCs w:val="20"/>
              </w:rPr>
            </w:pPr>
            <w:r>
              <w:rPr>
                <w:rFonts w:ascii="Arial" w:hAnsi="Arial" w:cs="Arial"/>
                <w:iCs/>
                <w:sz w:val="20"/>
                <w:szCs w:val="20"/>
              </w:rPr>
              <w:t>5.7(j)</w:t>
            </w:r>
          </w:p>
        </w:tc>
        <w:tc>
          <w:tcPr>
            <w:tcW w:w="3118" w:type="dxa"/>
          </w:tcPr>
          <w:p w14:paraId="69CD3637" w14:textId="77777777" w:rsidR="006A73CE" w:rsidRPr="004870BB" w:rsidDel="004E375D" w:rsidRDefault="006A73CE" w:rsidP="00D14313">
            <w:pPr>
              <w:rPr>
                <w:rFonts w:ascii="Arial" w:hAnsi="Arial" w:cs="Arial"/>
                <w:iCs/>
                <w:sz w:val="20"/>
                <w:szCs w:val="20"/>
              </w:rPr>
            </w:pPr>
          </w:p>
        </w:tc>
        <w:tc>
          <w:tcPr>
            <w:tcW w:w="8080" w:type="dxa"/>
          </w:tcPr>
          <w:p w14:paraId="00A5C110" w14:textId="3BD35CA5" w:rsidR="006A73CE" w:rsidRPr="00F80513" w:rsidRDefault="00093286" w:rsidP="00D14313">
            <w:pPr>
              <w:rPr>
                <w:rFonts w:ascii="Arial" w:hAnsi="Arial" w:cs="Arial"/>
                <w:iCs/>
                <w:sz w:val="20"/>
                <w:szCs w:val="20"/>
                <w:lang w:val="en-ZA"/>
              </w:rPr>
            </w:pPr>
            <w:r>
              <w:rPr>
                <w:rFonts w:ascii="Arial" w:hAnsi="Arial" w:cs="Arial"/>
                <w:iCs/>
                <w:sz w:val="20"/>
                <w:szCs w:val="20"/>
                <w:lang w:val="en-ZA"/>
              </w:rPr>
              <w:t>H</w:t>
            </w:r>
            <w:r w:rsidRPr="00093286">
              <w:rPr>
                <w:rFonts w:ascii="Arial" w:hAnsi="Arial" w:cs="Arial"/>
                <w:iCs/>
                <w:sz w:val="20"/>
                <w:szCs w:val="20"/>
                <w:lang w:val="en-ZA"/>
              </w:rPr>
              <w:t>ave a policy on the promotion of broader diversity at board level, dealing with the promotion of the diversity attributes of gender, race, culture, age, field of knowledge, skills and experience, which policy must be available on the issuer’s website. The policy may include voluntary diversity targets. A statement must be included in the annual report on how the board applied the policy of broader diversity in the nomination and appointment of directors. If applicable, the board must explain why any of the diversity indicators have not been applied and report progress on voluntary diversity targets contained in the policy</w:t>
            </w:r>
          </w:p>
        </w:tc>
      </w:tr>
      <w:tr w:rsidR="00763B2F" w:rsidRPr="004870BB" w:rsidDel="004E375D" w14:paraId="0EED8D7D" w14:textId="14217D2C" w:rsidTr="00C56709">
        <w:tc>
          <w:tcPr>
            <w:tcW w:w="524" w:type="dxa"/>
          </w:tcPr>
          <w:p w14:paraId="4F80635C" w14:textId="77777777" w:rsidR="008661C0" w:rsidRPr="004870BB" w:rsidRDefault="008661C0" w:rsidP="00872BB2">
            <w:pPr>
              <w:numPr>
                <w:ilvl w:val="0"/>
                <w:numId w:val="2"/>
              </w:numPr>
              <w:spacing w:line="276" w:lineRule="auto"/>
              <w:rPr>
                <w:rFonts w:ascii="Arial" w:hAnsi="Arial" w:cs="Arial"/>
                <w:iCs/>
                <w:sz w:val="20"/>
                <w:szCs w:val="20"/>
              </w:rPr>
            </w:pPr>
          </w:p>
        </w:tc>
        <w:tc>
          <w:tcPr>
            <w:tcW w:w="2170" w:type="dxa"/>
          </w:tcPr>
          <w:p w14:paraId="0B70A8A7" w14:textId="0E69AC29" w:rsidR="008661C0" w:rsidRPr="004870BB" w:rsidRDefault="00160D49" w:rsidP="00D14313">
            <w:pPr>
              <w:rPr>
                <w:rFonts w:ascii="Arial" w:hAnsi="Arial" w:cs="Arial"/>
                <w:iCs/>
                <w:sz w:val="20"/>
                <w:szCs w:val="20"/>
              </w:rPr>
            </w:pPr>
            <w:r>
              <w:rPr>
                <w:rFonts w:ascii="Arial" w:hAnsi="Arial" w:cs="Arial"/>
                <w:iCs/>
                <w:sz w:val="20"/>
                <w:szCs w:val="20"/>
              </w:rPr>
              <w:t>11.38(j)</w:t>
            </w:r>
          </w:p>
        </w:tc>
        <w:tc>
          <w:tcPr>
            <w:tcW w:w="3118" w:type="dxa"/>
          </w:tcPr>
          <w:p w14:paraId="7C02B52E" w14:textId="77777777" w:rsidR="008661C0" w:rsidRPr="004870BB" w:rsidDel="004E375D" w:rsidRDefault="008661C0" w:rsidP="00D14313">
            <w:pPr>
              <w:rPr>
                <w:rFonts w:ascii="Arial" w:hAnsi="Arial" w:cs="Arial"/>
                <w:iCs/>
                <w:sz w:val="20"/>
                <w:szCs w:val="20"/>
              </w:rPr>
            </w:pPr>
          </w:p>
        </w:tc>
        <w:tc>
          <w:tcPr>
            <w:tcW w:w="8080" w:type="dxa"/>
          </w:tcPr>
          <w:p w14:paraId="63CBC012" w14:textId="17C6200C" w:rsidR="008661C0" w:rsidRPr="00F80513" w:rsidDel="004E375D" w:rsidRDefault="00A0420B" w:rsidP="00D14313">
            <w:pPr>
              <w:rPr>
                <w:rFonts w:ascii="Arial" w:hAnsi="Arial" w:cs="Arial"/>
                <w:iCs/>
                <w:sz w:val="20"/>
                <w:szCs w:val="20"/>
              </w:rPr>
            </w:pPr>
            <w:r w:rsidRPr="00F80513">
              <w:rPr>
                <w:rFonts w:ascii="Arial" w:hAnsi="Arial" w:cs="Arial"/>
                <w:iCs/>
                <w:sz w:val="20"/>
                <w:szCs w:val="20"/>
                <w:lang w:val="en-ZA"/>
              </w:rPr>
              <w:t>T</w:t>
            </w:r>
            <w:r w:rsidR="0047440E" w:rsidRPr="00F80513">
              <w:rPr>
                <w:rFonts w:ascii="Arial" w:hAnsi="Arial" w:cs="Arial"/>
                <w:iCs/>
                <w:sz w:val="20"/>
                <w:szCs w:val="20"/>
                <w:lang w:val="en-ZA"/>
              </w:rPr>
              <w:t>he reason for the resignation/termination of auditor, if applicable.</w:t>
            </w:r>
          </w:p>
        </w:tc>
      </w:tr>
      <w:tr w:rsidR="00860DB7" w:rsidRPr="004870BB" w:rsidDel="004E375D" w14:paraId="0E8B97E9" w14:textId="77777777" w:rsidTr="00C56709">
        <w:tc>
          <w:tcPr>
            <w:tcW w:w="524" w:type="dxa"/>
          </w:tcPr>
          <w:p w14:paraId="71B99433" w14:textId="77777777" w:rsidR="00860DB7" w:rsidRPr="004870BB" w:rsidRDefault="00860DB7" w:rsidP="00D14313">
            <w:pPr>
              <w:numPr>
                <w:ilvl w:val="0"/>
                <w:numId w:val="2"/>
              </w:numPr>
              <w:rPr>
                <w:rFonts w:ascii="Arial" w:hAnsi="Arial" w:cs="Arial"/>
                <w:iCs/>
                <w:sz w:val="20"/>
                <w:szCs w:val="20"/>
              </w:rPr>
            </w:pPr>
          </w:p>
        </w:tc>
        <w:tc>
          <w:tcPr>
            <w:tcW w:w="2170" w:type="dxa"/>
          </w:tcPr>
          <w:p w14:paraId="77776761" w14:textId="75CDD4B9" w:rsidR="00860DB7" w:rsidRDefault="00860DB7" w:rsidP="00D14313">
            <w:pPr>
              <w:rPr>
                <w:rFonts w:ascii="Arial" w:hAnsi="Arial" w:cs="Arial"/>
                <w:iCs/>
                <w:sz w:val="20"/>
                <w:szCs w:val="20"/>
              </w:rPr>
            </w:pPr>
            <w:r w:rsidRPr="002A0715">
              <w:rPr>
                <w:rFonts w:ascii="Arial" w:hAnsi="Arial" w:cs="Arial"/>
                <w:sz w:val="20"/>
                <w:szCs w:val="20"/>
              </w:rPr>
              <w:t>1.13</w:t>
            </w:r>
          </w:p>
        </w:tc>
        <w:tc>
          <w:tcPr>
            <w:tcW w:w="3118" w:type="dxa"/>
            <w:vAlign w:val="bottom"/>
          </w:tcPr>
          <w:p w14:paraId="3AC5F8F0" w14:textId="77777777" w:rsidR="00860DB7" w:rsidRPr="004870BB" w:rsidDel="004E375D" w:rsidRDefault="00860DB7" w:rsidP="00D14313">
            <w:pPr>
              <w:rPr>
                <w:rFonts w:ascii="Arial" w:hAnsi="Arial" w:cs="Arial"/>
                <w:iCs/>
                <w:sz w:val="20"/>
                <w:szCs w:val="20"/>
              </w:rPr>
            </w:pPr>
          </w:p>
        </w:tc>
        <w:tc>
          <w:tcPr>
            <w:tcW w:w="8080" w:type="dxa"/>
          </w:tcPr>
          <w:p w14:paraId="7466AA60" w14:textId="66F18CFD" w:rsidR="00860DB7" w:rsidRPr="002A0715" w:rsidRDefault="00860DB7" w:rsidP="00D14313">
            <w:pPr>
              <w:jc w:val="both"/>
              <w:rPr>
                <w:rFonts w:ascii="Arial" w:hAnsi="Arial" w:cs="Arial"/>
                <w:bCs/>
                <w:sz w:val="20"/>
                <w:szCs w:val="20"/>
              </w:rPr>
            </w:pPr>
            <w:r w:rsidRPr="00CA39A8">
              <w:rPr>
                <w:rFonts w:ascii="Arial" w:hAnsi="Arial" w:cs="Arial"/>
                <w:bCs/>
                <w:sz w:val="20"/>
                <w:szCs w:val="20"/>
              </w:rPr>
              <w:t xml:space="preserve">Annual compliance </w:t>
            </w:r>
            <w:r w:rsidRPr="00240F4E">
              <w:rPr>
                <w:rFonts w:ascii="Arial" w:hAnsi="Arial" w:cs="Arial"/>
                <w:bCs/>
                <w:sz w:val="20"/>
                <w:szCs w:val="20"/>
              </w:rPr>
              <w:t xml:space="preserve">certificate - </w:t>
            </w:r>
            <w:r w:rsidRPr="00240F4E">
              <w:rPr>
                <w:rFonts w:ascii="Arial" w:hAnsi="Arial" w:cs="Arial"/>
                <w:sz w:val="20"/>
                <w:szCs w:val="20"/>
              </w:rPr>
              <w:t xml:space="preserve">Form </w:t>
            </w:r>
            <w:r w:rsidR="00B74CD8" w:rsidRPr="00240F4E">
              <w:rPr>
                <w:rFonts w:ascii="Arial" w:hAnsi="Arial" w:cs="Arial"/>
                <w:sz w:val="20"/>
                <w:szCs w:val="20"/>
              </w:rPr>
              <w:t>B</w:t>
            </w:r>
            <w:r w:rsidRPr="00240F4E">
              <w:rPr>
                <w:rFonts w:ascii="Arial" w:hAnsi="Arial" w:cs="Arial"/>
                <w:sz w:val="20"/>
                <w:szCs w:val="20"/>
              </w:rPr>
              <w:t xml:space="preserve">1 </w:t>
            </w:r>
          </w:p>
          <w:p w14:paraId="6A7E08E8" w14:textId="77777777" w:rsidR="00860DB7" w:rsidRDefault="00860DB7" w:rsidP="00D14313">
            <w:pPr>
              <w:rPr>
                <w:rFonts w:ascii="Arial" w:hAnsi="Arial" w:cs="Arial"/>
                <w:sz w:val="20"/>
                <w:szCs w:val="20"/>
              </w:rPr>
            </w:pPr>
            <w:r w:rsidRPr="00CA39A8">
              <w:rPr>
                <w:rFonts w:ascii="Arial" w:hAnsi="Arial" w:cs="Arial"/>
                <w:sz w:val="20"/>
                <w:szCs w:val="20"/>
              </w:rPr>
              <w:t>Please include details of matters of non-compliances during the review period.</w:t>
            </w:r>
          </w:p>
          <w:p w14:paraId="57EBDD09" w14:textId="21A317BE" w:rsidR="00D14313" w:rsidRPr="00F80513" w:rsidRDefault="00D14313" w:rsidP="00D14313">
            <w:pPr>
              <w:rPr>
                <w:rFonts w:ascii="Arial" w:hAnsi="Arial" w:cs="Arial"/>
                <w:iCs/>
                <w:sz w:val="20"/>
                <w:szCs w:val="20"/>
                <w:lang w:val="en-ZA"/>
              </w:rPr>
            </w:pPr>
          </w:p>
        </w:tc>
      </w:tr>
      <w:tr w:rsidR="00860DB7" w:rsidRPr="004870BB" w:rsidDel="004E375D" w14:paraId="1AEA8FB5" w14:textId="77777777" w:rsidTr="00C56709">
        <w:tc>
          <w:tcPr>
            <w:tcW w:w="524" w:type="dxa"/>
          </w:tcPr>
          <w:p w14:paraId="53620A4C" w14:textId="77777777" w:rsidR="00860DB7" w:rsidRPr="004870BB" w:rsidRDefault="00860DB7" w:rsidP="00D14313">
            <w:pPr>
              <w:numPr>
                <w:ilvl w:val="0"/>
                <w:numId w:val="2"/>
              </w:numPr>
              <w:rPr>
                <w:rFonts w:ascii="Arial" w:hAnsi="Arial" w:cs="Arial"/>
                <w:iCs/>
                <w:sz w:val="20"/>
                <w:szCs w:val="20"/>
              </w:rPr>
            </w:pPr>
          </w:p>
        </w:tc>
        <w:tc>
          <w:tcPr>
            <w:tcW w:w="2170" w:type="dxa"/>
          </w:tcPr>
          <w:p w14:paraId="7331F6AC" w14:textId="075A2BE1" w:rsidR="00860DB7" w:rsidRPr="00625D38" w:rsidRDefault="00625D38" w:rsidP="00D14313">
            <w:pPr>
              <w:jc w:val="both"/>
              <w:rPr>
                <w:rFonts w:ascii="Arial" w:hAnsi="Arial" w:cs="Arial"/>
                <w:bCs/>
                <w:color w:val="00B050"/>
                <w:sz w:val="20"/>
                <w:szCs w:val="20"/>
                <w:u w:val="single"/>
              </w:rPr>
            </w:pPr>
            <w:r w:rsidRPr="00625D38">
              <w:rPr>
                <w:rFonts w:ascii="Arial" w:hAnsi="Arial" w:cs="Arial"/>
                <w:bCs/>
                <w:sz w:val="20"/>
                <w:szCs w:val="20"/>
                <w:u w:val="single"/>
              </w:rPr>
              <w:t>REITs</w:t>
            </w:r>
            <w:r w:rsidR="00C31A15">
              <w:rPr>
                <w:rFonts w:ascii="Arial" w:hAnsi="Arial" w:cs="Arial"/>
                <w:bCs/>
                <w:sz w:val="20"/>
                <w:szCs w:val="20"/>
                <w:u w:val="single"/>
              </w:rPr>
              <w:t xml:space="preserve"> and CISIP</w:t>
            </w:r>
            <w:r w:rsidR="009E6D43">
              <w:rPr>
                <w:rFonts w:ascii="Arial" w:hAnsi="Arial" w:cs="Arial"/>
                <w:bCs/>
                <w:sz w:val="20"/>
                <w:szCs w:val="20"/>
                <w:u w:val="single"/>
              </w:rPr>
              <w:t>s</w:t>
            </w:r>
          </w:p>
        </w:tc>
        <w:tc>
          <w:tcPr>
            <w:tcW w:w="3118" w:type="dxa"/>
          </w:tcPr>
          <w:p w14:paraId="5ED1285B" w14:textId="77777777" w:rsidR="00860DB7" w:rsidRPr="00F80513" w:rsidDel="004E375D" w:rsidRDefault="00860DB7" w:rsidP="00D14313">
            <w:pPr>
              <w:rPr>
                <w:rFonts w:ascii="Arial" w:hAnsi="Arial" w:cs="Arial"/>
                <w:iCs/>
                <w:sz w:val="20"/>
                <w:szCs w:val="20"/>
              </w:rPr>
            </w:pPr>
          </w:p>
        </w:tc>
        <w:tc>
          <w:tcPr>
            <w:tcW w:w="8080" w:type="dxa"/>
            <w:vAlign w:val="bottom"/>
          </w:tcPr>
          <w:p w14:paraId="1AA8B18E" w14:textId="201C1295" w:rsidR="00860DB7" w:rsidRPr="00310F45" w:rsidRDefault="00B639A8" w:rsidP="00D14313">
            <w:pPr>
              <w:jc w:val="both"/>
              <w:rPr>
                <w:rFonts w:ascii="Arial" w:hAnsi="Arial" w:cs="Arial"/>
                <w:sz w:val="20"/>
                <w:szCs w:val="20"/>
              </w:rPr>
            </w:pPr>
            <w:r>
              <w:rPr>
                <w:rFonts w:ascii="Arial" w:hAnsi="Arial" w:cs="Arial"/>
                <w:sz w:val="20"/>
                <w:szCs w:val="20"/>
              </w:rPr>
              <w:t>A</w:t>
            </w:r>
            <w:r w:rsidR="00860DB7" w:rsidRPr="00310F45">
              <w:rPr>
                <w:rFonts w:ascii="Arial" w:hAnsi="Arial" w:cs="Arial"/>
                <w:sz w:val="20"/>
                <w:szCs w:val="20"/>
              </w:rPr>
              <w:t xml:space="preserve"> REIT Compliance declaration must be submitted pursuant to provision </w:t>
            </w:r>
            <w:r w:rsidR="00D05970">
              <w:rPr>
                <w:rFonts w:ascii="Arial" w:hAnsi="Arial" w:cs="Arial"/>
                <w:sz w:val="20"/>
                <w:szCs w:val="20"/>
              </w:rPr>
              <w:t>13.30</w:t>
            </w:r>
            <w:r w:rsidR="00860DB7" w:rsidRPr="00310F45">
              <w:rPr>
                <w:rFonts w:ascii="Arial" w:hAnsi="Arial" w:cs="Arial"/>
                <w:sz w:val="20"/>
                <w:szCs w:val="20"/>
              </w:rPr>
              <w:t xml:space="preserve"> within (four) months of financial year end; and</w:t>
            </w:r>
          </w:p>
          <w:p w14:paraId="19061F46" w14:textId="2A3469DA" w:rsidR="00860DB7" w:rsidRPr="00310F45" w:rsidDel="004E375D" w:rsidRDefault="00860DB7" w:rsidP="00D14313">
            <w:pPr>
              <w:rPr>
                <w:rFonts w:ascii="Arial" w:hAnsi="Arial" w:cs="Arial"/>
                <w:iCs/>
                <w:sz w:val="20"/>
                <w:szCs w:val="20"/>
              </w:rPr>
            </w:pPr>
            <w:r w:rsidRPr="00310F45">
              <w:rPr>
                <w:rFonts w:ascii="Arial" w:hAnsi="Arial" w:cs="Arial"/>
                <w:sz w:val="20"/>
                <w:szCs w:val="20"/>
              </w:rPr>
              <w:t>For CISIP’s a compliance declaration pursuant to paragraph 13.</w:t>
            </w:r>
            <w:r w:rsidR="004A3955">
              <w:rPr>
                <w:rFonts w:ascii="Arial" w:hAnsi="Arial" w:cs="Arial"/>
                <w:sz w:val="20"/>
                <w:szCs w:val="20"/>
              </w:rPr>
              <w:t>37</w:t>
            </w:r>
            <w:r w:rsidRPr="00310F45">
              <w:rPr>
                <w:rFonts w:ascii="Arial" w:hAnsi="Arial" w:cs="Arial"/>
                <w:sz w:val="20"/>
                <w:szCs w:val="20"/>
              </w:rPr>
              <w:t xml:space="preserve"> must be submitted within (four) months of the issuer’s financial year end.</w:t>
            </w:r>
          </w:p>
        </w:tc>
      </w:tr>
      <w:tr w:rsidR="00860DB7" w:rsidRPr="004870BB" w:rsidDel="004E375D" w14:paraId="0341AF27" w14:textId="329A8156" w:rsidTr="00C56709">
        <w:tc>
          <w:tcPr>
            <w:tcW w:w="524" w:type="dxa"/>
          </w:tcPr>
          <w:p w14:paraId="5BF87C6A" w14:textId="77777777" w:rsidR="00860DB7" w:rsidRPr="004870BB" w:rsidRDefault="00860DB7" w:rsidP="00D14313">
            <w:pPr>
              <w:numPr>
                <w:ilvl w:val="0"/>
                <w:numId w:val="2"/>
              </w:numPr>
              <w:rPr>
                <w:rFonts w:ascii="Arial" w:hAnsi="Arial" w:cs="Arial"/>
                <w:iCs/>
                <w:sz w:val="20"/>
                <w:szCs w:val="20"/>
              </w:rPr>
            </w:pPr>
          </w:p>
        </w:tc>
        <w:tc>
          <w:tcPr>
            <w:tcW w:w="2170" w:type="dxa"/>
          </w:tcPr>
          <w:p w14:paraId="599B0BB9" w14:textId="519030FF" w:rsidR="00480292" w:rsidRPr="00480292" w:rsidRDefault="00F74B06" w:rsidP="00D14313">
            <w:pPr>
              <w:jc w:val="both"/>
              <w:rPr>
                <w:rFonts w:ascii="Arial" w:hAnsi="Arial" w:cs="Arial"/>
                <w:sz w:val="20"/>
                <w:szCs w:val="20"/>
              </w:rPr>
            </w:pPr>
            <w:r>
              <w:rPr>
                <w:rFonts w:ascii="Arial" w:hAnsi="Arial" w:cs="Arial"/>
                <w:sz w:val="20"/>
                <w:szCs w:val="20"/>
              </w:rPr>
              <w:t>12.7(g)</w:t>
            </w:r>
          </w:p>
          <w:p w14:paraId="2C1D927F" w14:textId="4F3F358F" w:rsidR="00480292" w:rsidRPr="00480292" w:rsidRDefault="00480292" w:rsidP="00D14313">
            <w:pPr>
              <w:jc w:val="both"/>
              <w:rPr>
                <w:rFonts w:ascii="Arial" w:hAnsi="Arial" w:cs="Arial"/>
                <w:sz w:val="20"/>
                <w:szCs w:val="20"/>
              </w:rPr>
            </w:pPr>
            <w:r w:rsidRPr="00480292">
              <w:rPr>
                <w:rFonts w:ascii="Arial" w:hAnsi="Arial" w:cs="Arial"/>
                <w:sz w:val="20"/>
                <w:szCs w:val="20"/>
              </w:rPr>
              <w:t xml:space="preserve">Appendix 1 to section </w:t>
            </w:r>
            <w:r w:rsidR="000915DE">
              <w:rPr>
                <w:rFonts w:ascii="Arial" w:hAnsi="Arial" w:cs="Arial"/>
                <w:sz w:val="20"/>
                <w:szCs w:val="20"/>
              </w:rPr>
              <w:t>6</w:t>
            </w:r>
          </w:p>
          <w:p w14:paraId="66C9CF9D" w14:textId="1BECD459" w:rsidR="00480292" w:rsidRPr="00480292" w:rsidRDefault="00480292" w:rsidP="00D14313">
            <w:pPr>
              <w:rPr>
                <w:rFonts w:ascii="Arial" w:hAnsi="Arial" w:cs="Arial"/>
                <w:iCs/>
                <w:sz w:val="20"/>
                <w:szCs w:val="20"/>
              </w:rPr>
            </w:pPr>
          </w:p>
        </w:tc>
        <w:tc>
          <w:tcPr>
            <w:tcW w:w="3118" w:type="dxa"/>
          </w:tcPr>
          <w:p w14:paraId="672EA375" w14:textId="77777777" w:rsidR="00860DB7" w:rsidRPr="00480292" w:rsidDel="004E375D" w:rsidRDefault="00860DB7" w:rsidP="00D14313">
            <w:pPr>
              <w:rPr>
                <w:rFonts w:ascii="Arial" w:hAnsi="Arial" w:cs="Arial"/>
                <w:iCs/>
                <w:sz w:val="20"/>
                <w:szCs w:val="20"/>
              </w:rPr>
            </w:pPr>
          </w:p>
        </w:tc>
        <w:tc>
          <w:tcPr>
            <w:tcW w:w="8080" w:type="dxa"/>
            <w:vAlign w:val="bottom"/>
          </w:tcPr>
          <w:p w14:paraId="7627C64A" w14:textId="77777777" w:rsidR="00480292" w:rsidRPr="00480292" w:rsidRDefault="00480292" w:rsidP="00D14313">
            <w:pPr>
              <w:jc w:val="both"/>
              <w:rPr>
                <w:rFonts w:ascii="Arial" w:hAnsi="Arial" w:cs="Arial"/>
                <w:sz w:val="20"/>
                <w:szCs w:val="20"/>
              </w:rPr>
            </w:pPr>
            <w:r w:rsidRPr="00480292">
              <w:rPr>
                <w:rFonts w:ascii="Arial" w:hAnsi="Arial" w:cs="Arial"/>
                <w:sz w:val="20"/>
                <w:szCs w:val="20"/>
              </w:rPr>
              <w:t>Issuer’s must submit to the JSE, the annual compliance report prepared pursuant to section 13G (2) of the BEE Act, unless an exemption can be provided to the JSE.</w:t>
            </w:r>
          </w:p>
          <w:p w14:paraId="6EEF024F" w14:textId="77777777" w:rsidR="00480292" w:rsidRPr="00480292" w:rsidRDefault="00480292" w:rsidP="00D14313">
            <w:pPr>
              <w:rPr>
                <w:rFonts w:ascii="Arial" w:hAnsi="Arial" w:cs="Arial"/>
                <w:sz w:val="20"/>
                <w:szCs w:val="20"/>
              </w:rPr>
            </w:pPr>
            <w:r w:rsidRPr="00480292">
              <w:rPr>
                <w:rFonts w:ascii="Arial" w:hAnsi="Arial" w:cs="Arial"/>
                <w:sz w:val="20"/>
                <w:szCs w:val="20"/>
              </w:rPr>
              <w:t>Please ensure an announcement is published with the link to where the annual compliance report can be found on the issuer’s website.</w:t>
            </w:r>
          </w:p>
          <w:p w14:paraId="6C60833A" w14:textId="6EE39D99" w:rsidR="00860DB7" w:rsidRPr="00480292" w:rsidDel="004E375D" w:rsidRDefault="00860DB7" w:rsidP="00D14313">
            <w:pPr>
              <w:jc w:val="both"/>
              <w:rPr>
                <w:rFonts w:ascii="Arial" w:hAnsi="Arial" w:cs="Arial"/>
                <w:iCs/>
                <w:sz w:val="20"/>
                <w:szCs w:val="20"/>
              </w:rPr>
            </w:pPr>
          </w:p>
        </w:tc>
      </w:tr>
      <w:tr w:rsidR="00080311" w:rsidRPr="004870BB" w:rsidDel="004E375D" w14:paraId="50DBD434" w14:textId="3DE8F388" w:rsidTr="00C56709">
        <w:tc>
          <w:tcPr>
            <w:tcW w:w="524" w:type="dxa"/>
          </w:tcPr>
          <w:p w14:paraId="09E91103" w14:textId="77777777" w:rsidR="00080311" w:rsidRPr="004870BB" w:rsidRDefault="00080311" w:rsidP="00D14313">
            <w:pPr>
              <w:numPr>
                <w:ilvl w:val="0"/>
                <w:numId w:val="2"/>
              </w:numPr>
              <w:rPr>
                <w:rFonts w:ascii="Arial" w:hAnsi="Arial" w:cs="Arial"/>
                <w:iCs/>
                <w:sz w:val="20"/>
                <w:szCs w:val="20"/>
              </w:rPr>
            </w:pPr>
          </w:p>
        </w:tc>
        <w:tc>
          <w:tcPr>
            <w:tcW w:w="2170" w:type="dxa"/>
          </w:tcPr>
          <w:p w14:paraId="4D3E4927" w14:textId="7D52F6AF" w:rsidR="00080311" w:rsidRPr="00356B92" w:rsidRDefault="00080311" w:rsidP="00D14313">
            <w:pPr>
              <w:pStyle w:val="parafullout"/>
              <w:spacing w:before="0" w:after="0" w:line="240" w:lineRule="auto"/>
              <w:jc w:val="both"/>
              <w:rPr>
                <w:rFonts w:ascii="Arial" w:hAnsi="Arial" w:cs="Arial"/>
                <w:b/>
                <w:bCs/>
                <w:iCs/>
                <w:sz w:val="20"/>
              </w:rPr>
            </w:pPr>
          </w:p>
        </w:tc>
        <w:tc>
          <w:tcPr>
            <w:tcW w:w="3118" w:type="dxa"/>
          </w:tcPr>
          <w:p w14:paraId="69893C51" w14:textId="77777777" w:rsidR="00080311" w:rsidRPr="004870BB" w:rsidDel="004E375D" w:rsidRDefault="00080311" w:rsidP="00D14313">
            <w:pPr>
              <w:rPr>
                <w:rFonts w:ascii="Arial" w:hAnsi="Arial" w:cs="Arial"/>
                <w:iCs/>
                <w:sz w:val="20"/>
                <w:szCs w:val="20"/>
              </w:rPr>
            </w:pPr>
          </w:p>
        </w:tc>
        <w:tc>
          <w:tcPr>
            <w:tcW w:w="8080" w:type="dxa"/>
            <w:vAlign w:val="bottom"/>
          </w:tcPr>
          <w:p w14:paraId="1A8412F9" w14:textId="0DB45D97" w:rsidR="00080311" w:rsidRPr="00093286" w:rsidRDefault="00093286" w:rsidP="00D14313">
            <w:pPr>
              <w:pStyle w:val="parafullout"/>
              <w:spacing w:before="0" w:after="0" w:line="240" w:lineRule="auto"/>
              <w:jc w:val="both"/>
              <w:rPr>
                <w:rFonts w:ascii="Arial" w:hAnsi="Arial" w:cs="Arial"/>
                <w:bCs/>
                <w:color w:val="00B050"/>
                <w:sz w:val="20"/>
              </w:rPr>
            </w:pPr>
            <w:r>
              <w:rPr>
                <w:rFonts w:ascii="Arial" w:hAnsi="Arial" w:cs="Arial"/>
                <w:bCs/>
                <w:color w:val="00B050"/>
                <w:sz w:val="20"/>
              </w:rPr>
              <w:t>Note: T</w:t>
            </w:r>
            <w:r w:rsidR="00080311" w:rsidRPr="00093286">
              <w:rPr>
                <w:rFonts w:ascii="Arial" w:hAnsi="Arial" w:cs="Arial"/>
                <w:bCs/>
                <w:color w:val="00B050"/>
                <w:sz w:val="20"/>
              </w:rPr>
              <w:t xml:space="preserve">he Annual Financial Statement </w:t>
            </w:r>
            <w:r>
              <w:rPr>
                <w:rFonts w:ascii="Arial" w:hAnsi="Arial" w:cs="Arial"/>
                <w:bCs/>
                <w:color w:val="00B050"/>
                <w:sz w:val="20"/>
              </w:rPr>
              <w:t>q</w:t>
            </w:r>
            <w:r w:rsidR="00080311" w:rsidRPr="00093286">
              <w:rPr>
                <w:rFonts w:ascii="Arial" w:hAnsi="Arial" w:cs="Arial"/>
                <w:bCs/>
                <w:color w:val="00B050"/>
                <w:sz w:val="20"/>
              </w:rPr>
              <w:t xml:space="preserve">uestionnaire of the issuer </w:t>
            </w:r>
            <w:r>
              <w:rPr>
                <w:rFonts w:ascii="Arial" w:hAnsi="Arial" w:cs="Arial"/>
                <w:bCs/>
                <w:color w:val="00B050"/>
                <w:sz w:val="20"/>
              </w:rPr>
              <w:t>must be</w:t>
            </w:r>
            <w:r w:rsidR="00080311" w:rsidRPr="00093286">
              <w:rPr>
                <w:rFonts w:ascii="Arial" w:hAnsi="Arial" w:cs="Arial"/>
                <w:bCs/>
                <w:color w:val="00B050"/>
                <w:sz w:val="20"/>
              </w:rPr>
              <w:t xml:space="preserve"> submitted on WEBSTIR with the audited annual financial statement</w:t>
            </w:r>
            <w:r w:rsidR="00FF2D10">
              <w:rPr>
                <w:rFonts w:ascii="Arial" w:hAnsi="Arial" w:cs="Arial"/>
                <w:bCs/>
                <w:color w:val="00B050"/>
                <w:sz w:val="20"/>
              </w:rPr>
              <w:t>s</w:t>
            </w:r>
            <w:r w:rsidR="000C7B70">
              <w:rPr>
                <w:rFonts w:ascii="Arial" w:hAnsi="Arial" w:cs="Arial"/>
                <w:bCs/>
                <w:color w:val="00B050"/>
                <w:sz w:val="20"/>
              </w:rPr>
              <w:t xml:space="preserve">, if not already submitted previously. </w:t>
            </w:r>
          </w:p>
          <w:p w14:paraId="2CD36B65" w14:textId="1B84FBA0" w:rsidR="00080311" w:rsidRPr="00080311" w:rsidDel="004E375D" w:rsidRDefault="00080311" w:rsidP="00D14313">
            <w:pPr>
              <w:rPr>
                <w:rFonts w:ascii="Arial" w:hAnsi="Arial" w:cs="Arial"/>
                <w:iCs/>
                <w:sz w:val="20"/>
                <w:szCs w:val="20"/>
                <w:lang w:val="en-ZA"/>
              </w:rPr>
            </w:pPr>
          </w:p>
        </w:tc>
      </w:tr>
    </w:tbl>
    <w:p w14:paraId="03AA5DC1" w14:textId="77777777" w:rsidR="003C3D45" w:rsidRDefault="003C3D45" w:rsidP="00D14313">
      <w:pPr>
        <w:rPr>
          <w:rFonts w:ascii="Arial" w:hAnsi="Arial" w:cs="Arial"/>
          <w:b/>
          <w:bCs/>
        </w:rPr>
      </w:pPr>
    </w:p>
    <w:p w14:paraId="58A8687A" w14:textId="77777777" w:rsidR="00D14313" w:rsidRDefault="00D14313" w:rsidP="00D14313">
      <w:pPr>
        <w:jc w:val="center"/>
        <w:rPr>
          <w:rFonts w:ascii="Arial" w:hAnsi="Arial" w:cs="Arial"/>
          <w:b/>
          <w:bCs/>
          <w:sz w:val="20"/>
          <w:szCs w:val="20"/>
        </w:rPr>
      </w:pPr>
    </w:p>
    <w:p w14:paraId="1EC3294F" w14:textId="77777777" w:rsidR="00D14313" w:rsidRDefault="00D14313" w:rsidP="00D14313">
      <w:pPr>
        <w:jc w:val="center"/>
        <w:rPr>
          <w:rFonts w:ascii="Arial" w:hAnsi="Arial" w:cs="Arial"/>
          <w:b/>
          <w:bCs/>
          <w:sz w:val="20"/>
          <w:szCs w:val="20"/>
        </w:rPr>
      </w:pPr>
    </w:p>
    <w:p w14:paraId="6AD76186" w14:textId="4FBCF300" w:rsidR="0072562C" w:rsidRPr="00BA64B2" w:rsidRDefault="00262518" w:rsidP="00D14313">
      <w:pPr>
        <w:jc w:val="center"/>
        <w:rPr>
          <w:rFonts w:ascii="Arial" w:hAnsi="Arial" w:cs="Arial"/>
          <w:b/>
          <w:bCs/>
          <w:sz w:val="20"/>
          <w:szCs w:val="20"/>
        </w:rPr>
      </w:pPr>
      <w:r w:rsidRPr="00BA64B2">
        <w:rPr>
          <w:rFonts w:ascii="Arial" w:hAnsi="Arial" w:cs="Arial"/>
          <w:b/>
          <w:bCs/>
          <w:sz w:val="20"/>
          <w:szCs w:val="20"/>
        </w:rPr>
        <w:t>Secondary and dual listings</w:t>
      </w:r>
    </w:p>
    <w:p w14:paraId="7D476830" w14:textId="77777777" w:rsidR="00262518" w:rsidRDefault="00262518" w:rsidP="00D14313">
      <w:pPr>
        <w:jc w:val="center"/>
        <w:rPr>
          <w:rFonts w:ascii="Arial" w:hAnsi="Arial" w:cs="Arial"/>
          <w:b/>
          <w:bCs/>
          <w:sz w:val="20"/>
          <w:szCs w:val="20"/>
        </w:rPr>
      </w:pPr>
    </w:p>
    <w:tbl>
      <w:tblPr>
        <w:tblW w:w="5067" w:type="pct"/>
        <w:tblLook w:val="0000" w:firstRow="0" w:lastRow="0" w:firstColumn="0" w:lastColumn="0" w:noHBand="0" w:noVBand="0"/>
      </w:tblPr>
      <w:tblGrid>
        <w:gridCol w:w="2685"/>
        <w:gridCol w:w="3109"/>
        <w:gridCol w:w="7950"/>
      </w:tblGrid>
      <w:tr w:rsidR="00011A48" w:rsidRPr="001940B8" w14:paraId="7CF2BEE5" w14:textId="77777777" w:rsidTr="00C56709">
        <w:trPr>
          <w:trHeight w:val="510"/>
        </w:trPr>
        <w:tc>
          <w:tcPr>
            <w:tcW w:w="977"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1A43565A" w14:textId="3EF921DF" w:rsidR="00DB4244" w:rsidRPr="001940B8" w:rsidRDefault="00DB4244" w:rsidP="00D14313">
            <w:pPr>
              <w:jc w:val="both"/>
              <w:rPr>
                <w:rFonts w:ascii="Arial" w:hAnsi="Arial" w:cs="Arial"/>
                <w:b/>
                <w:bCs/>
                <w:sz w:val="20"/>
                <w:szCs w:val="20"/>
              </w:rPr>
            </w:pPr>
            <w:r w:rsidRPr="001940B8">
              <w:rPr>
                <w:rFonts w:ascii="Arial" w:hAnsi="Arial" w:cs="Arial"/>
                <w:b/>
                <w:bCs/>
                <w:sz w:val="20"/>
                <w:szCs w:val="20"/>
              </w:rPr>
              <w:t>LR R</w:t>
            </w:r>
            <w:r w:rsidR="007D1EDE" w:rsidRPr="001940B8">
              <w:rPr>
                <w:rFonts w:ascii="Arial" w:hAnsi="Arial" w:cs="Arial"/>
                <w:b/>
                <w:bCs/>
                <w:sz w:val="20"/>
                <w:szCs w:val="20"/>
              </w:rPr>
              <w:t>ef</w:t>
            </w:r>
          </w:p>
        </w:tc>
        <w:tc>
          <w:tcPr>
            <w:tcW w:w="1131" w:type="pct"/>
            <w:tcBorders>
              <w:top w:val="single" w:sz="4" w:space="0" w:color="auto"/>
              <w:left w:val="nil"/>
              <w:bottom w:val="single" w:sz="4" w:space="0" w:color="auto"/>
              <w:right w:val="single" w:sz="4" w:space="0" w:color="auto"/>
            </w:tcBorders>
            <w:shd w:val="clear" w:color="auto" w:fill="A6A6A6" w:themeFill="background1" w:themeFillShade="A6"/>
          </w:tcPr>
          <w:p w14:paraId="24547D9C" w14:textId="59262DEE" w:rsidR="00DB4244" w:rsidRPr="001940B8" w:rsidRDefault="00DB4244" w:rsidP="00D14313">
            <w:pPr>
              <w:jc w:val="both"/>
              <w:rPr>
                <w:rFonts w:ascii="Arial" w:hAnsi="Arial" w:cs="Arial"/>
                <w:b/>
                <w:bCs/>
                <w:sz w:val="20"/>
                <w:szCs w:val="20"/>
              </w:rPr>
            </w:pPr>
            <w:r w:rsidRPr="001940B8">
              <w:rPr>
                <w:rFonts w:ascii="Arial" w:hAnsi="Arial" w:cs="Arial"/>
                <w:b/>
                <w:bCs/>
                <w:sz w:val="20"/>
                <w:szCs w:val="20"/>
              </w:rPr>
              <w:t>Paragraph reference where this is addressed or reason why not addressed</w:t>
            </w:r>
          </w:p>
        </w:tc>
        <w:tc>
          <w:tcPr>
            <w:tcW w:w="2892" w:type="pct"/>
            <w:tcBorders>
              <w:top w:val="single" w:sz="4" w:space="0" w:color="auto"/>
              <w:left w:val="nil"/>
              <w:bottom w:val="single" w:sz="4" w:space="0" w:color="auto"/>
              <w:right w:val="single" w:sz="4" w:space="0" w:color="auto"/>
            </w:tcBorders>
            <w:shd w:val="clear" w:color="auto" w:fill="A6A6A6" w:themeFill="background1" w:themeFillShade="A6"/>
          </w:tcPr>
          <w:p w14:paraId="58638504" w14:textId="7262AF0B" w:rsidR="00DB4244" w:rsidRPr="001940B8" w:rsidRDefault="00DB4244" w:rsidP="00D14313">
            <w:pPr>
              <w:jc w:val="both"/>
              <w:rPr>
                <w:rFonts w:ascii="Arial" w:hAnsi="Arial" w:cs="Arial"/>
                <w:b/>
                <w:bCs/>
                <w:sz w:val="20"/>
                <w:szCs w:val="20"/>
              </w:rPr>
            </w:pPr>
            <w:r w:rsidRPr="001940B8">
              <w:rPr>
                <w:rFonts w:ascii="Arial" w:hAnsi="Arial" w:cs="Arial"/>
                <w:b/>
                <w:bCs/>
                <w:sz w:val="20"/>
                <w:szCs w:val="20"/>
              </w:rPr>
              <w:t xml:space="preserve">LR Extracts </w:t>
            </w:r>
          </w:p>
        </w:tc>
      </w:tr>
      <w:tr w:rsidR="00011A48" w:rsidRPr="001940B8" w14:paraId="47763E54" w14:textId="77777777" w:rsidTr="00C56709">
        <w:trPr>
          <w:trHeight w:val="510"/>
        </w:trPr>
        <w:tc>
          <w:tcPr>
            <w:tcW w:w="977" w:type="pct"/>
            <w:tcBorders>
              <w:top w:val="single" w:sz="4" w:space="0" w:color="auto"/>
              <w:left w:val="single" w:sz="4" w:space="0" w:color="auto"/>
              <w:bottom w:val="single" w:sz="4" w:space="0" w:color="auto"/>
              <w:right w:val="single" w:sz="4" w:space="0" w:color="auto"/>
            </w:tcBorders>
          </w:tcPr>
          <w:p w14:paraId="72129194" w14:textId="77777777" w:rsidR="001453F5" w:rsidRPr="001940B8" w:rsidRDefault="001453F5" w:rsidP="00D14313">
            <w:pPr>
              <w:jc w:val="both"/>
              <w:rPr>
                <w:rFonts w:ascii="Arial" w:hAnsi="Arial" w:cs="Arial"/>
                <w:sz w:val="20"/>
                <w:szCs w:val="20"/>
              </w:rPr>
            </w:pPr>
            <w:r w:rsidRPr="001940B8">
              <w:rPr>
                <w:rFonts w:ascii="Arial" w:hAnsi="Arial" w:cs="Arial"/>
                <w:sz w:val="20"/>
                <w:szCs w:val="20"/>
              </w:rPr>
              <w:lastRenderedPageBreak/>
              <w:t>3.28(a)</w:t>
            </w:r>
          </w:p>
        </w:tc>
        <w:tc>
          <w:tcPr>
            <w:tcW w:w="1131" w:type="pct"/>
            <w:tcBorders>
              <w:top w:val="single" w:sz="4" w:space="0" w:color="auto"/>
              <w:left w:val="nil"/>
              <w:bottom w:val="single" w:sz="4" w:space="0" w:color="auto"/>
              <w:right w:val="single" w:sz="4" w:space="0" w:color="auto"/>
            </w:tcBorders>
            <w:vAlign w:val="bottom"/>
          </w:tcPr>
          <w:p w14:paraId="4D67C730" w14:textId="2C74E393" w:rsidR="001453F5" w:rsidRPr="001940B8" w:rsidRDefault="001453F5" w:rsidP="00D14313">
            <w:pPr>
              <w:jc w:val="both"/>
              <w:rPr>
                <w:rFonts w:ascii="Arial" w:hAnsi="Arial" w:cs="Arial"/>
                <w:sz w:val="20"/>
                <w:szCs w:val="20"/>
              </w:rPr>
            </w:pPr>
          </w:p>
        </w:tc>
        <w:tc>
          <w:tcPr>
            <w:tcW w:w="2892" w:type="pct"/>
            <w:tcBorders>
              <w:top w:val="single" w:sz="4" w:space="0" w:color="auto"/>
              <w:left w:val="nil"/>
              <w:bottom w:val="single" w:sz="4" w:space="0" w:color="auto"/>
              <w:right w:val="single" w:sz="4" w:space="0" w:color="auto"/>
            </w:tcBorders>
            <w:vAlign w:val="bottom"/>
          </w:tcPr>
          <w:p w14:paraId="2CA2E790" w14:textId="77777777" w:rsidR="001453F5" w:rsidRDefault="001453F5" w:rsidP="00D14313">
            <w:pPr>
              <w:jc w:val="both"/>
              <w:rPr>
                <w:rFonts w:ascii="Arial" w:hAnsi="Arial" w:cs="Arial"/>
                <w:sz w:val="20"/>
                <w:szCs w:val="20"/>
                <w:lang w:val="en-ZA"/>
              </w:rPr>
            </w:pPr>
            <w:r w:rsidRPr="001940B8">
              <w:rPr>
                <w:rFonts w:ascii="Arial" w:hAnsi="Arial" w:cs="Arial"/>
                <w:sz w:val="20"/>
                <w:szCs w:val="20"/>
                <w:lang w:val="en-ZA"/>
              </w:rPr>
              <w:t>The annual financial statements and any other communication with shareholders must identify the primary and secondary exchange venues</w:t>
            </w:r>
          </w:p>
          <w:p w14:paraId="21514FFC" w14:textId="724CC612" w:rsidR="003C3D45" w:rsidRPr="001940B8" w:rsidRDefault="003C3D45" w:rsidP="00D14313">
            <w:pPr>
              <w:jc w:val="both"/>
              <w:rPr>
                <w:rFonts w:ascii="Arial" w:hAnsi="Arial" w:cs="Arial"/>
                <w:b/>
                <w:bCs/>
                <w:sz w:val="20"/>
                <w:szCs w:val="20"/>
              </w:rPr>
            </w:pPr>
          </w:p>
        </w:tc>
      </w:tr>
      <w:tr w:rsidR="00011A48" w:rsidRPr="001940B8" w14:paraId="39D625D1" w14:textId="77777777" w:rsidTr="00C56709">
        <w:trPr>
          <w:trHeight w:val="510"/>
        </w:trPr>
        <w:tc>
          <w:tcPr>
            <w:tcW w:w="977" w:type="pct"/>
            <w:tcBorders>
              <w:top w:val="single" w:sz="4" w:space="0" w:color="auto"/>
              <w:left w:val="single" w:sz="4" w:space="0" w:color="auto"/>
              <w:bottom w:val="single" w:sz="4" w:space="0" w:color="auto"/>
              <w:right w:val="single" w:sz="4" w:space="0" w:color="auto"/>
            </w:tcBorders>
          </w:tcPr>
          <w:p w14:paraId="06F2185C" w14:textId="5E25C7CA" w:rsidR="001453F5" w:rsidRPr="001940B8" w:rsidRDefault="001453F5" w:rsidP="00D14313">
            <w:pPr>
              <w:jc w:val="both"/>
              <w:rPr>
                <w:rFonts w:ascii="Arial" w:hAnsi="Arial" w:cs="Arial"/>
                <w:b/>
                <w:bCs/>
                <w:sz w:val="20"/>
                <w:szCs w:val="20"/>
              </w:rPr>
            </w:pPr>
            <w:r w:rsidRPr="001940B8">
              <w:rPr>
                <w:rFonts w:ascii="Arial" w:hAnsi="Arial" w:cs="Arial"/>
                <w:sz w:val="20"/>
                <w:szCs w:val="20"/>
              </w:rPr>
              <w:t>3.28(c)</w:t>
            </w:r>
          </w:p>
        </w:tc>
        <w:tc>
          <w:tcPr>
            <w:tcW w:w="1131" w:type="pct"/>
            <w:tcBorders>
              <w:top w:val="single" w:sz="4" w:space="0" w:color="auto"/>
              <w:left w:val="nil"/>
              <w:bottom w:val="single" w:sz="4" w:space="0" w:color="auto"/>
              <w:right w:val="single" w:sz="4" w:space="0" w:color="auto"/>
            </w:tcBorders>
            <w:vAlign w:val="bottom"/>
          </w:tcPr>
          <w:p w14:paraId="109D2C6F" w14:textId="3290EAB3" w:rsidR="001453F5" w:rsidRPr="001940B8" w:rsidRDefault="001453F5" w:rsidP="00D14313">
            <w:pPr>
              <w:jc w:val="both"/>
              <w:rPr>
                <w:rFonts w:ascii="Arial" w:hAnsi="Arial" w:cs="Arial"/>
                <w:color w:val="00B050"/>
                <w:sz w:val="20"/>
                <w:szCs w:val="20"/>
              </w:rPr>
            </w:pPr>
          </w:p>
        </w:tc>
        <w:tc>
          <w:tcPr>
            <w:tcW w:w="2892" w:type="pct"/>
            <w:tcBorders>
              <w:top w:val="single" w:sz="4" w:space="0" w:color="auto"/>
              <w:left w:val="nil"/>
              <w:bottom w:val="single" w:sz="4" w:space="0" w:color="auto"/>
              <w:right w:val="single" w:sz="4" w:space="0" w:color="auto"/>
            </w:tcBorders>
            <w:vAlign w:val="bottom"/>
          </w:tcPr>
          <w:p w14:paraId="3ABD1177" w14:textId="77777777" w:rsidR="001453F5" w:rsidRDefault="00202049" w:rsidP="00D14313">
            <w:pPr>
              <w:jc w:val="both"/>
              <w:rPr>
                <w:rFonts w:ascii="Arial" w:hAnsi="Arial" w:cs="Arial"/>
                <w:sz w:val="20"/>
                <w:szCs w:val="20"/>
                <w:lang w:val="en-ZA"/>
              </w:rPr>
            </w:pPr>
            <w:r>
              <w:rPr>
                <w:rFonts w:ascii="Arial" w:hAnsi="Arial" w:cs="Arial"/>
                <w:sz w:val="20"/>
                <w:szCs w:val="20"/>
                <w:lang w:val="en-ZA"/>
              </w:rPr>
              <w:t>I</w:t>
            </w:r>
            <w:r w:rsidR="001453F5" w:rsidRPr="001940B8">
              <w:rPr>
                <w:rFonts w:ascii="Arial" w:hAnsi="Arial" w:cs="Arial"/>
                <w:sz w:val="20"/>
                <w:szCs w:val="20"/>
                <w:lang w:val="en-ZA"/>
              </w:rPr>
              <w:t>t must announce, in its interim and year-end results, headline earnings per share and diluted headline earnings per share together with an itemised reconciliation between headline earnings and the earnings used in the calculation</w:t>
            </w:r>
          </w:p>
          <w:p w14:paraId="78BE5BD6" w14:textId="3346D638" w:rsidR="003C3D45" w:rsidRPr="001940B8" w:rsidRDefault="003C3D45" w:rsidP="00D14313">
            <w:pPr>
              <w:jc w:val="both"/>
              <w:rPr>
                <w:rFonts w:ascii="Arial" w:hAnsi="Arial" w:cs="Arial"/>
                <w:b/>
                <w:bCs/>
                <w:sz w:val="20"/>
                <w:szCs w:val="20"/>
              </w:rPr>
            </w:pPr>
          </w:p>
        </w:tc>
      </w:tr>
      <w:tr w:rsidR="00011A48" w:rsidRPr="001940B8" w14:paraId="757D4140" w14:textId="77777777" w:rsidTr="00C56709">
        <w:trPr>
          <w:trHeight w:val="510"/>
        </w:trPr>
        <w:tc>
          <w:tcPr>
            <w:tcW w:w="977" w:type="pct"/>
            <w:tcBorders>
              <w:top w:val="single" w:sz="4" w:space="0" w:color="auto"/>
              <w:left w:val="single" w:sz="4" w:space="0" w:color="auto"/>
              <w:bottom w:val="single" w:sz="4" w:space="0" w:color="auto"/>
              <w:right w:val="single" w:sz="4" w:space="0" w:color="auto"/>
            </w:tcBorders>
          </w:tcPr>
          <w:p w14:paraId="67758D2D" w14:textId="2C99D417" w:rsidR="001453F5" w:rsidRPr="001940B8" w:rsidRDefault="001453F5" w:rsidP="00D14313">
            <w:pPr>
              <w:jc w:val="both"/>
              <w:rPr>
                <w:rFonts w:ascii="Arial" w:hAnsi="Arial" w:cs="Arial"/>
                <w:b/>
                <w:bCs/>
                <w:sz w:val="20"/>
                <w:szCs w:val="20"/>
              </w:rPr>
            </w:pPr>
            <w:r w:rsidRPr="001940B8">
              <w:rPr>
                <w:rFonts w:ascii="Arial" w:hAnsi="Arial" w:cs="Arial"/>
                <w:sz w:val="20"/>
                <w:szCs w:val="20"/>
              </w:rPr>
              <w:t>3.28(d)</w:t>
            </w:r>
          </w:p>
        </w:tc>
        <w:tc>
          <w:tcPr>
            <w:tcW w:w="1131" w:type="pct"/>
            <w:tcBorders>
              <w:top w:val="single" w:sz="4" w:space="0" w:color="auto"/>
              <w:left w:val="nil"/>
              <w:bottom w:val="single" w:sz="4" w:space="0" w:color="auto"/>
              <w:right w:val="single" w:sz="4" w:space="0" w:color="auto"/>
            </w:tcBorders>
            <w:vAlign w:val="bottom"/>
          </w:tcPr>
          <w:p w14:paraId="23B5F7C7" w14:textId="3130907A" w:rsidR="001453F5" w:rsidRPr="001940B8" w:rsidRDefault="001453F5" w:rsidP="00D14313">
            <w:pPr>
              <w:jc w:val="both"/>
              <w:rPr>
                <w:rFonts w:ascii="Arial" w:hAnsi="Arial" w:cs="Arial"/>
                <w:color w:val="00B050"/>
                <w:sz w:val="20"/>
                <w:szCs w:val="20"/>
              </w:rPr>
            </w:pPr>
          </w:p>
        </w:tc>
        <w:tc>
          <w:tcPr>
            <w:tcW w:w="2892" w:type="pct"/>
            <w:tcBorders>
              <w:top w:val="single" w:sz="4" w:space="0" w:color="auto"/>
              <w:left w:val="nil"/>
              <w:bottom w:val="single" w:sz="4" w:space="0" w:color="auto"/>
              <w:right w:val="single" w:sz="4" w:space="0" w:color="auto"/>
            </w:tcBorders>
            <w:vAlign w:val="bottom"/>
          </w:tcPr>
          <w:p w14:paraId="630F5FA0" w14:textId="77777777" w:rsidR="001453F5" w:rsidRDefault="00202049" w:rsidP="00D14313">
            <w:pPr>
              <w:jc w:val="both"/>
              <w:rPr>
                <w:rFonts w:ascii="Arial" w:hAnsi="Arial" w:cs="Arial"/>
                <w:sz w:val="20"/>
                <w:szCs w:val="20"/>
                <w:lang w:val="en-ZA"/>
              </w:rPr>
            </w:pPr>
            <w:r>
              <w:rPr>
                <w:rFonts w:ascii="Arial" w:hAnsi="Arial" w:cs="Arial"/>
                <w:sz w:val="20"/>
                <w:szCs w:val="20"/>
                <w:lang w:val="en-ZA"/>
              </w:rPr>
              <w:t>I</w:t>
            </w:r>
            <w:r w:rsidR="001453F5" w:rsidRPr="001940B8">
              <w:rPr>
                <w:rFonts w:ascii="Arial" w:hAnsi="Arial" w:cs="Arial"/>
                <w:sz w:val="20"/>
                <w:szCs w:val="20"/>
                <w:lang w:val="en-ZA"/>
              </w:rPr>
              <w:t>nterim and year-end results must be prepared and announced in compliance with the acceptable accounting frameworks of the primary exchange;</w:t>
            </w:r>
          </w:p>
          <w:p w14:paraId="16EF4D82" w14:textId="3597B628" w:rsidR="003C3D45" w:rsidRPr="001940B8" w:rsidRDefault="003C3D45" w:rsidP="00D14313">
            <w:pPr>
              <w:jc w:val="both"/>
              <w:rPr>
                <w:rFonts w:ascii="Arial" w:hAnsi="Arial" w:cs="Arial"/>
                <w:b/>
                <w:bCs/>
                <w:sz w:val="20"/>
                <w:szCs w:val="20"/>
              </w:rPr>
            </w:pPr>
          </w:p>
        </w:tc>
      </w:tr>
      <w:tr w:rsidR="004510E4" w:rsidRPr="001940B8" w14:paraId="5772C3D6" w14:textId="77777777" w:rsidTr="00C56709">
        <w:trPr>
          <w:trHeight w:val="2268"/>
        </w:trPr>
        <w:tc>
          <w:tcPr>
            <w:tcW w:w="977" w:type="pct"/>
            <w:tcBorders>
              <w:top w:val="single" w:sz="4" w:space="0" w:color="auto"/>
              <w:left w:val="single" w:sz="4" w:space="0" w:color="auto"/>
              <w:bottom w:val="single" w:sz="4" w:space="0" w:color="auto"/>
              <w:right w:val="single" w:sz="4" w:space="0" w:color="auto"/>
            </w:tcBorders>
          </w:tcPr>
          <w:p w14:paraId="22A73A47" w14:textId="5DB94D19" w:rsidR="004510E4" w:rsidRDefault="004510E4" w:rsidP="00D14313">
            <w:pPr>
              <w:jc w:val="both"/>
              <w:rPr>
                <w:rFonts w:ascii="Arial" w:hAnsi="Arial" w:cs="Arial"/>
                <w:sz w:val="20"/>
                <w:szCs w:val="20"/>
              </w:rPr>
            </w:pPr>
            <w:r w:rsidRPr="001940B8">
              <w:rPr>
                <w:rFonts w:ascii="Arial" w:hAnsi="Arial" w:cs="Arial"/>
                <w:sz w:val="20"/>
                <w:szCs w:val="20"/>
              </w:rPr>
              <w:t>3.29(</w:t>
            </w:r>
            <w:r>
              <w:rPr>
                <w:rFonts w:ascii="Arial" w:hAnsi="Arial" w:cs="Arial"/>
                <w:sz w:val="20"/>
                <w:szCs w:val="20"/>
              </w:rPr>
              <w:t>a</w:t>
            </w:r>
            <w:r w:rsidRPr="001940B8">
              <w:rPr>
                <w:rFonts w:ascii="Arial" w:hAnsi="Arial" w:cs="Arial"/>
                <w:sz w:val="20"/>
                <w:szCs w:val="20"/>
              </w:rPr>
              <w:t>)</w:t>
            </w:r>
          </w:p>
          <w:p w14:paraId="3FBEA9A8" w14:textId="77777777" w:rsidR="004510E4" w:rsidRDefault="004510E4" w:rsidP="00D14313">
            <w:pPr>
              <w:jc w:val="both"/>
              <w:rPr>
                <w:rFonts w:ascii="Arial" w:hAnsi="Arial" w:cs="Arial"/>
                <w:sz w:val="20"/>
                <w:szCs w:val="20"/>
              </w:rPr>
            </w:pPr>
          </w:p>
          <w:p w14:paraId="06DFEB9E" w14:textId="77777777" w:rsidR="004510E4" w:rsidRDefault="004510E4" w:rsidP="00D14313">
            <w:pPr>
              <w:jc w:val="both"/>
              <w:rPr>
                <w:rFonts w:ascii="Arial" w:hAnsi="Arial" w:cs="Arial"/>
                <w:sz w:val="20"/>
                <w:szCs w:val="20"/>
              </w:rPr>
            </w:pPr>
          </w:p>
          <w:p w14:paraId="5F6B7641" w14:textId="77777777" w:rsidR="004510E4" w:rsidRDefault="004510E4" w:rsidP="00D14313">
            <w:pPr>
              <w:jc w:val="both"/>
              <w:rPr>
                <w:rFonts w:ascii="Arial" w:hAnsi="Arial" w:cs="Arial"/>
                <w:b/>
                <w:bCs/>
                <w:sz w:val="20"/>
                <w:szCs w:val="20"/>
              </w:rPr>
            </w:pPr>
          </w:p>
          <w:p w14:paraId="6D42E8E2" w14:textId="1604A0C8" w:rsidR="004510E4" w:rsidRPr="004510E4" w:rsidRDefault="004510E4" w:rsidP="00D14313">
            <w:pPr>
              <w:jc w:val="both"/>
              <w:rPr>
                <w:rFonts w:ascii="Arial" w:hAnsi="Arial" w:cs="Arial"/>
                <w:sz w:val="20"/>
                <w:szCs w:val="20"/>
              </w:rPr>
            </w:pPr>
            <w:r w:rsidRPr="004510E4">
              <w:rPr>
                <w:rFonts w:ascii="Arial" w:hAnsi="Arial" w:cs="Arial"/>
                <w:sz w:val="20"/>
                <w:szCs w:val="20"/>
              </w:rPr>
              <w:t>3.29(b)</w:t>
            </w:r>
          </w:p>
        </w:tc>
        <w:tc>
          <w:tcPr>
            <w:tcW w:w="1131" w:type="pct"/>
            <w:tcBorders>
              <w:top w:val="single" w:sz="4" w:space="0" w:color="auto"/>
              <w:left w:val="nil"/>
              <w:bottom w:val="single" w:sz="4" w:space="0" w:color="auto"/>
              <w:right w:val="single" w:sz="4" w:space="0" w:color="auto"/>
            </w:tcBorders>
            <w:vAlign w:val="bottom"/>
          </w:tcPr>
          <w:p w14:paraId="3AED20D6" w14:textId="77777777" w:rsidR="004510E4" w:rsidRPr="001940B8" w:rsidRDefault="004510E4" w:rsidP="00D14313">
            <w:pPr>
              <w:jc w:val="both"/>
              <w:rPr>
                <w:rFonts w:ascii="Arial" w:hAnsi="Arial" w:cs="Arial"/>
                <w:color w:val="00B050"/>
                <w:sz w:val="20"/>
                <w:szCs w:val="20"/>
              </w:rPr>
            </w:pPr>
          </w:p>
        </w:tc>
        <w:tc>
          <w:tcPr>
            <w:tcW w:w="2892" w:type="pct"/>
            <w:tcBorders>
              <w:top w:val="single" w:sz="4" w:space="0" w:color="auto"/>
              <w:left w:val="nil"/>
              <w:bottom w:val="single" w:sz="4" w:space="0" w:color="auto"/>
              <w:right w:val="single" w:sz="4" w:space="0" w:color="auto"/>
            </w:tcBorders>
            <w:vAlign w:val="bottom"/>
          </w:tcPr>
          <w:p w14:paraId="26FB57FA" w14:textId="032ACB18" w:rsidR="004510E4" w:rsidRDefault="004510E4" w:rsidP="00D14313">
            <w:pPr>
              <w:jc w:val="both"/>
              <w:rPr>
                <w:rFonts w:ascii="Arial" w:hAnsi="Arial" w:cs="Arial"/>
                <w:sz w:val="20"/>
                <w:szCs w:val="20"/>
                <w:lang w:val="en-ZA"/>
              </w:rPr>
            </w:pPr>
            <w:r>
              <w:rPr>
                <w:rFonts w:ascii="Arial" w:hAnsi="Arial" w:cs="Arial"/>
                <w:sz w:val="20"/>
                <w:szCs w:val="20"/>
                <w:lang w:val="en-ZA"/>
              </w:rPr>
              <w:t>T</w:t>
            </w:r>
            <w:r w:rsidRPr="001940B8">
              <w:rPr>
                <w:rFonts w:ascii="Arial" w:hAnsi="Arial" w:cs="Arial"/>
                <w:sz w:val="20"/>
                <w:szCs w:val="20"/>
                <w:lang w:val="en-ZA"/>
              </w:rPr>
              <w:t xml:space="preserve">he applicant issuer must submit details of the volume and value of securities </w:t>
            </w:r>
            <w:r w:rsidR="00196A60" w:rsidRPr="001940B8">
              <w:rPr>
                <w:rFonts w:ascii="Arial" w:hAnsi="Arial" w:cs="Arial"/>
                <w:sz w:val="20"/>
                <w:szCs w:val="20"/>
                <w:lang w:val="en-ZA"/>
              </w:rPr>
              <w:t>traded</w:t>
            </w:r>
            <w:r w:rsidR="00196A60">
              <w:rPr>
                <w:rFonts w:ascii="Arial" w:hAnsi="Arial" w:cs="Arial"/>
                <w:sz w:val="20"/>
                <w:szCs w:val="20"/>
                <w:lang w:val="en-ZA"/>
              </w:rPr>
              <w:t xml:space="preserve"> </w:t>
            </w:r>
            <w:r w:rsidR="00196A60" w:rsidRPr="001940B8">
              <w:rPr>
                <w:rFonts w:ascii="Arial" w:hAnsi="Arial" w:cs="Arial"/>
                <w:sz w:val="20"/>
                <w:szCs w:val="20"/>
                <w:lang w:val="en-ZA"/>
              </w:rPr>
              <w:t>(over the previous 24 months)</w:t>
            </w:r>
            <w:r w:rsidRPr="001940B8">
              <w:rPr>
                <w:rFonts w:ascii="Arial" w:hAnsi="Arial" w:cs="Arial"/>
                <w:sz w:val="20"/>
                <w:szCs w:val="20"/>
                <w:lang w:val="en-ZA"/>
              </w:rPr>
              <w:t xml:space="preserve"> on all exchanges where it has a listing, in order for the JSE to consider the applicant issuer’s continued secondary listing status. This information must be submitted to the JSE, together with the applicant issuer’s annual financial statements in terms of the Appendix 1 to Section 6 or by no later than four months from the financial year-end of the applicant issuer</w:t>
            </w:r>
            <w:r>
              <w:rPr>
                <w:rFonts w:ascii="Arial" w:hAnsi="Arial" w:cs="Arial"/>
                <w:sz w:val="20"/>
                <w:szCs w:val="20"/>
                <w:lang w:val="en-ZA"/>
              </w:rPr>
              <w:t>.</w:t>
            </w:r>
          </w:p>
          <w:p w14:paraId="42B4D0FB" w14:textId="77777777" w:rsidR="004510E4" w:rsidRPr="001940B8" w:rsidRDefault="004510E4" w:rsidP="00D14313">
            <w:pPr>
              <w:jc w:val="both"/>
              <w:rPr>
                <w:rFonts w:ascii="Arial" w:hAnsi="Arial" w:cs="Arial"/>
                <w:sz w:val="20"/>
                <w:szCs w:val="20"/>
              </w:rPr>
            </w:pPr>
          </w:p>
          <w:p w14:paraId="38C853F5" w14:textId="77777777" w:rsidR="004510E4" w:rsidRPr="003C3D45" w:rsidRDefault="004510E4" w:rsidP="00D14313">
            <w:pPr>
              <w:jc w:val="both"/>
              <w:rPr>
                <w:rFonts w:ascii="Arial" w:hAnsi="Arial" w:cs="Arial"/>
                <w:sz w:val="20"/>
                <w:szCs w:val="20"/>
              </w:rPr>
            </w:pPr>
            <w:r>
              <w:rPr>
                <w:rFonts w:ascii="Arial" w:hAnsi="Arial" w:cs="Arial"/>
                <w:sz w:val="20"/>
                <w:szCs w:val="20"/>
              </w:rPr>
              <w:t>I</w:t>
            </w:r>
            <w:r w:rsidRPr="00742DF2">
              <w:rPr>
                <w:rFonts w:ascii="Arial" w:hAnsi="Arial" w:cs="Arial"/>
                <w:sz w:val="20"/>
                <w:szCs w:val="20"/>
              </w:rPr>
              <w:t xml:space="preserve">f both the volume and value of securities traded on the JSE exceeded 50% of the total </w:t>
            </w:r>
            <w:r w:rsidRPr="003C3D45">
              <w:rPr>
                <w:rFonts w:ascii="Arial" w:hAnsi="Arial" w:cs="Arial"/>
                <w:sz w:val="20"/>
                <w:szCs w:val="20"/>
              </w:rPr>
              <w:t>volume and total value of those securities (over the previous 24 months) traded on all exchanges where the applicant issuer has a listing, then the applicant issuer's listing status on the JSE may be converted to a primary listing. The converse would apply when both the volume and value of securities traded on the JSE was 50% or below.</w:t>
            </w:r>
          </w:p>
          <w:p w14:paraId="10DE55BC" w14:textId="77777777" w:rsidR="001A0D7B" w:rsidRDefault="001A0D7B" w:rsidP="00D14313">
            <w:pPr>
              <w:jc w:val="both"/>
              <w:rPr>
                <w:rFonts w:ascii="Arial" w:hAnsi="Arial" w:cs="Arial"/>
                <w:sz w:val="20"/>
                <w:szCs w:val="20"/>
              </w:rPr>
            </w:pPr>
          </w:p>
          <w:p w14:paraId="50E60955" w14:textId="4D1113DD" w:rsidR="0000709C" w:rsidRPr="003C3D45" w:rsidRDefault="001A0D7B" w:rsidP="00D14313">
            <w:pPr>
              <w:pStyle w:val="parafullout"/>
              <w:spacing w:before="0" w:after="0" w:line="240" w:lineRule="auto"/>
              <w:jc w:val="both"/>
              <w:rPr>
                <w:rFonts w:ascii="Arial" w:hAnsi="Arial" w:cs="Arial"/>
                <w:sz w:val="20"/>
              </w:rPr>
            </w:pPr>
            <w:r w:rsidRPr="003C3D45">
              <w:rPr>
                <w:rFonts w:ascii="Arial" w:hAnsi="Arial" w:cs="Arial"/>
                <w:sz w:val="20"/>
              </w:rPr>
              <w:t>For illustrative purposes</w:t>
            </w:r>
            <w:r w:rsidR="00011A48" w:rsidRPr="003C3D45">
              <w:rPr>
                <w:rFonts w:ascii="Arial" w:hAnsi="Arial" w:cs="Arial"/>
                <w:sz w:val="20"/>
              </w:rPr>
              <w:t xml:space="preserve"> for 3.29: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1585"/>
              <w:gridCol w:w="1420"/>
              <w:gridCol w:w="1617"/>
              <w:gridCol w:w="1471"/>
            </w:tblGrid>
            <w:tr w:rsidR="0000709C" w:rsidRPr="00B13C47" w14:paraId="3A6C7109" w14:textId="77777777" w:rsidTr="006C0872">
              <w:tc>
                <w:tcPr>
                  <w:tcW w:w="2532" w:type="dxa"/>
                </w:tcPr>
                <w:p w14:paraId="3F513D52" w14:textId="77777777" w:rsidR="0000709C" w:rsidRPr="003C3D45" w:rsidRDefault="0000709C" w:rsidP="00D14313">
                  <w:pPr>
                    <w:pStyle w:val="parafullout"/>
                    <w:spacing w:before="0" w:after="0" w:line="240" w:lineRule="auto"/>
                    <w:jc w:val="both"/>
                    <w:rPr>
                      <w:rFonts w:ascii="Arial" w:hAnsi="Arial" w:cs="Arial"/>
                      <w:sz w:val="16"/>
                      <w:szCs w:val="16"/>
                    </w:rPr>
                  </w:pPr>
                  <w:r w:rsidRPr="003C3D45">
                    <w:rPr>
                      <w:rFonts w:ascii="Arial" w:hAnsi="Arial" w:cs="Arial"/>
                      <w:sz w:val="16"/>
                      <w:szCs w:val="16"/>
                    </w:rPr>
                    <w:t>Total volumes JSE</w:t>
                  </w:r>
                </w:p>
              </w:tc>
              <w:tc>
                <w:tcPr>
                  <w:tcW w:w="2376" w:type="dxa"/>
                </w:tcPr>
                <w:p w14:paraId="2AAA5A6B" w14:textId="77777777" w:rsidR="0000709C" w:rsidRPr="003C3D45" w:rsidRDefault="0000709C" w:rsidP="00D14313">
                  <w:pPr>
                    <w:pStyle w:val="parafullout"/>
                    <w:spacing w:before="0" w:after="0" w:line="240" w:lineRule="auto"/>
                    <w:jc w:val="both"/>
                    <w:rPr>
                      <w:rFonts w:ascii="Arial" w:hAnsi="Arial" w:cs="Arial"/>
                      <w:sz w:val="16"/>
                      <w:szCs w:val="16"/>
                    </w:rPr>
                  </w:pPr>
                  <w:r w:rsidRPr="003C3D45">
                    <w:rPr>
                      <w:rFonts w:ascii="Arial" w:hAnsi="Arial" w:cs="Arial"/>
                      <w:sz w:val="16"/>
                      <w:szCs w:val="16"/>
                    </w:rPr>
                    <w:t>JSE volume as a percentage of (Total for JSE and Other exchanges)</w:t>
                  </w:r>
                </w:p>
              </w:tc>
              <w:tc>
                <w:tcPr>
                  <w:tcW w:w="1998" w:type="dxa"/>
                </w:tcPr>
                <w:p w14:paraId="645B765D" w14:textId="77777777" w:rsidR="0000709C" w:rsidRPr="003C3D45" w:rsidRDefault="0000709C" w:rsidP="00D14313">
                  <w:pPr>
                    <w:pStyle w:val="parafullout"/>
                    <w:spacing w:before="0" w:after="0" w:line="240" w:lineRule="auto"/>
                    <w:jc w:val="both"/>
                    <w:rPr>
                      <w:rFonts w:ascii="Arial" w:hAnsi="Arial" w:cs="Arial"/>
                      <w:sz w:val="16"/>
                      <w:szCs w:val="16"/>
                    </w:rPr>
                  </w:pPr>
                  <w:r w:rsidRPr="003C3D45">
                    <w:rPr>
                      <w:rFonts w:ascii="Arial" w:hAnsi="Arial" w:cs="Arial"/>
                      <w:sz w:val="16"/>
                      <w:szCs w:val="16"/>
                    </w:rPr>
                    <w:t>Total value JSE</w:t>
                  </w:r>
                </w:p>
              </w:tc>
              <w:tc>
                <w:tcPr>
                  <w:tcW w:w="2458" w:type="dxa"/>
                </w:tcPr>
                <w:p w14:paraId="23D8B02B" w14:textId="77777777" w:rsidR="0000709C" w:rsidRPr="003C3D45" w:rsidRDefault="0000709C" w:rsidP="00D14313">
                  <w:pPr>
                    <w:pStyle w:val="parafullout"/>
                    <w:spacing w:before="0" w:after="0" w:line="240" w:lineRule="auto"/>
                    <w:jc w:val="both"/>
                    <w:rPr>
                      <w:rFonts w:ascii="Arial" w:hAnsi="Arial" w:cs="Arial"/>
                      <w:sz w:val="16"/>
                      <w:szCs w:val="16"/>
                    </w:rPr>
                  </w:pPr>
                  <w:r w:rsidRPr="003C3D45">
                    <w:rPr>
                      <w:rFonts w:ascii="Arial" w:hAnsi="Arial" w:cs="Arial"/>
                      <w:sz w:val="16"/>
                      <w:szCs w:val="16"/>
                    </w:rPr>
                    <w:t>JSE value as a percentage of (Total for JSE and Other exchanges)</w:t>
                  </w:r>
                </w:p>
              </w:tc>
              <w:tc>
                <w:tcPr>
                  <w:tcW w:w="2210" w:type="dxa"/>
                </w:tcPr>
                <w:p w14:paraId="4AEB280E" w14:textId="77777777" w:rsidR="0000709C" w:rsidRPr="003C3D45" w:rsidRDefault="0000709C" w:rsidP="00D14313">
                  <w:pPr>
                    <w:pStyle w:val="parafullout"/>
                    <w:spacing w:before="0" w:after="0" w:line="240" w:lineRule="auto"/>
                    <w:jc w:val="both"/>
                    <w:rPr>
                      <w:rFonts w:ascii="Arial" w:hAnsi="Arial" w:cs="Arial"/>
                      <w:sz w:val="16"/>
                      <w:szCs w:val="16"/>
                    </w:rPr>
                  </w:pPr>
                </w:p>
              </w:tc>
            </w:tr>
            <w:tr w:rsidR="0000709C" w:rsidRPr="00B13C47" w14:paraId="4A05D534" w14:textId="77777777" w:rsidTr="006C0872">
              <w:tc>
                <w:tcPr>
                  <w:tcW w:w="2532" w:type="dxa"/>
                </w:tcPr>
                <w:p w14:paraId="6D3938D7" w14:textId="77777777" w:rsidR="0000709C" w:rsidRPr="003C3D45" w:rsidRDefault="0000709C" w:rsidP="00D14313">
                  <w:pPr>
                    <w:pStyle w:val="parafullout"/>
                    <w:spacing w:before="0" w:after="0" w:line="240" w:lineRule="auto"/>
                    <w:jc w:val="both"/>
                    <w:rPr>
                      <w:rFonts w:ascii="Arial" w:hAnsi="Arial" w:cs="Arial"/>
                      <w:sz w:val="16"/>
                      <w:szCs w:val="16"/>
                    </w:rPr>
                  </w:pPr>
                  <w:r w:rsidRPr="003C3D45">
                    <w:rPr>
                      <w:rFonts w:ascii="Arial" w:hAnsi="Arial" w:cs="Arial"/>
                      <w:sz w:val="16"/>
                      <w:szCs w:val="16"/>
                    </w:rPr>
                    <w:t>Total volume (other exchanges)</w:t>
                  </w:r>
                </w:p>
              </w:tc>
              <w:tc>
                <w:tcPr>
                  <w:tcW w:w="2376" w:type="dxa"/>
                </w:tcPr>
                <w:p w14:paraId="47467063" w14:textId="77777777" w:rsidR="0000709C" w:rsidRPr="003C3D45" w:rsidRDefault="0000709C" w:rsidP="00D14313">
                  <w:pPr>
                    <w:pStyle w:val="parafullout"/>
                    <w:spacing w:before="0" w:after="0" w:line="240" w:lineRule="auto"/>
                    <w:jc w:val="both"/>
                    <w:rPr>
                      <w:rFonts w:ascii="Arial" w:hAnsi="Arial" w:cs="Arial"/>
                      <w:sz w:val="16"/>
                      <w:szCs w:val="16"/>
                    </w:rPr>
                  </w:pPr>
                  <w:r w:rsidRPr="003C3D45">
                    <w:rPr>
                      <w:rFonts w:ascii="Arial" w:hAnsi="Arial" w:cs="Arial"/>
                      <w:sz w:val="16"/>
                      <w:szCs w:val="16"/>
                    </w:rPr>
                    <w:t>Other exchanges volume as a percentage of (Total for JSE and Other exchanges)</w:t>
                  </w:r>
                </w:p>
              </w:tc>
              <w:tc>
                <w:tcPr>
                  <w:tcW w:w="1998" w:type="dxa"/>
                </w:tcPr>
                <w:p w14:paraId="74526F89" w14:textId="77777777" w:rsidR="0000709C" w:rsidRPr="003C3D45" w:rsidRDefault="0000709C" w:rsidP="00D14313">
                  <w:pPr>
                    <w:pStyle w:val="parafullout"/>
                    <w:spacing w:before="0" w:after="0" w:line="240" w:lineRule="auto"/>
                    <w:jc w:val="both"/>
                    <w:rPr>
                      <w:rFonts w:ascii="Arial" w:hAnsi="Arial" w:cs="Arial"/>
                      <w:sz w:val="16"/>
                      <w:szCs w:val="16"/>
                    </w:rPr>
                  </w:pPr>
                  <w:r w:rsidRPr="003C3D45">
                    <w:rPr>
                      <w:rFonts w:ascii="Arial" w:hAnsi="Arial" w:cs="Arial"/>
                      <w:sz w:val="16"/>
                      <w:szCs w:val="16"/>
                    </w:rPr>
                    <w:t>Total value* (other exchanges)</w:t>
                  </w:r>
                </w:p>
              </w:tc>
              <w:tc>
                <w:tcPr>
                  <w:tcW w:w="2458" w:type="dxa"/>
                </w:tcPr>
                <w:p w14:paraId="198DD85A" w14:textId="77777777" w:rsidR="0000709C" w:rsidRPr="003C3D45" w:rsidRDefault="0000709C" w:rsidP="00D14313">
                  <w:pPr>
                    <w:pStyle w:val="parafullout"/>
                    <w:spacing w:before="0" w:after="0" w:line="240" w:lineRule="auto"/>
                    <w:jc w:val="both"/>
                    <w:rPr>
                      <w:rFonts w:ascii="Arial" w:hAnsi="Arial" w:cs="Arial"/>
                      <w:sz w:val="16"/>
                      <w:szCs w:val="16"/>
                    </w:rPr>
                  </w:pPr>
                  <w:r w:rsidRPr="003C3D45">
                    <w:rPr>
                      <w:rFonts w:ascii="Arial" w:hAnsi="Arial" w:cs="Arial"/>
                      <w:sz w:val="16"/>
                      <w:szCs w:val="16"/>
                    </w:rPr>
                    <w:t>Other exchanges value as a percentage of (Total for JSE and Other exchanges)</w:t>
                  </w:r>
                </w:p>
              </w:tc>
              <w:tc>
                <w:tcPr>
                  <w:tcW w:w="2210" w:type="dxa"/>
                </w:tcPr>
                <w:p w14:paraId="71B1B8A7" w14:textId="77777777" w:rsidR="0000709C" w:rsidRPr="003C3D45" w:rsidRDefault="0000709C" w:rsidP="00D14313">
                  <w:pPr>
                    <w:pStyle w:val="parafullout"/>
                    <w:spacing w:before="0" w:after="0" w:line="240" w:lineRule="auto"/>
                    <w:jc w:val="both"/>
                    <w:rPr>
                      <w:rFonts w:ascii="Arial" w:hAnsi="Arial" w:cs="Arial"/>
                      <w:sz w:val="16"/>
                      <w:szCs w:val="16"/>
                    </w:rPr>
                  </w:pPr>
                  <w:r w:rsidRPr="003C3D45">
                    <w:rPr>
                      <w:rFonts w:ascii="Arial" w:hAnsi="Arial" w:cs="Arial"/>
                      <w:sz w:val="16"/>
                      <w:szCs w:val="16"/>
                    </w:rPr>
                    <w:t>*value must be expressed in common currency (apply the applicable conversion currency rate)</w:t>
                  </w:r>
                </w:p>
              </w:tc>
            </w:tr>
            <w:tr w:rsidR="0000709C" w:rsidRPr="00B13C47" w14:paraId="34ADADE9" w14:textId="77777777" w:rsidTr="006C0872">
              <w:tc>
                <w:tcPr>
                  <w:tcW w:w="2532" w:type="dxa"/>
                </w:tcPr>
                <w:p w14:paraId="5CD11384" w14:textId="77777777" w:rsidR="0000709C" w:rsidRPr="003C3D45" w:rsidRDefault="0000709C" w:rsidP="00D14313">
                  <w:pPr>
                    <w:pStyle w:val="parafullout"/>
                    <w:spacing w:before="0" w:after="0" w:line="240" w:lineRule="auto"/>
                    <w:jc w:val="both"/>
                    <w:rPr>
                      <w:rFonts w:ascii="Arial" w:hAnsi="Arial" w:cs="Arial"/>
                      <w:b/>
                      <w:sz w:val="16"/>
                      <w:szCs w:val="16"/>
                    </w:rPr>
                  </w:pPr>
                  <w:r w:rsidRPr="003C3D45">
                    <w:rPr>
                      <w:rFonts w:ascii="Arial" w:hAnsi="Arial" w:cs="Arial"/>
                      <w:b/>
                      <w:sz w:val="16"/>
                      <w:szCs w:val="16"/>
                    </w:rPr>
                    <w:t>Total volumes for JSE and Other exchanges</w:t>
                  </w:r>
                </w:p>
              </w:tc>
              <w:tc>
                <w:tcPr>
                  <w:tcW w:w="2376" w:type="dxa"/>
                </w:tcPr>
                <w:p w14:paraId="5BE690CF" w14:textId="77777777" w:rsidR="0000709C" w:rsidRPr="003C3D45" w:rsidRDefault="0000709C" w:rsidP="00D14313">
                  <w:pPr>
                    <w:pStyle w:val="parafullout"/>
                    <w:spacing w:before="0" w:after="0" w:line="240" w:lineRule="auto"/>
                    <w:jc w:val="both"/>
                    <w:rPr>
                      <w:rFonts w:ascii="Arial" w:hAnsi="Arial" w:cs="Arial"/>
                      <w:b/>
                      <w:sz w:val="16"/>
                      <w:szCs w:val="16"/>
                    </w:rPr>
                  </w:pPr>
                  <w:r w:rsidRPr="003C3D45">
                    <w:rPr>
                      <w:rFonts w:ascii="Arial" w:hAnsi="Arial" w:cs="Arial"/>
                      <w:b/>
                      <w:sz w:val="16"/>
                      <w:szCs w:val="16"/>
                    </w:rPr>
                    <w:t>Total percentage volume for JSE and Other exchanges</w:t>
                  </w:r>
                </w:p>
              </w:tc>
              <w:tc>
                <w:tcPr>
                  <w:tcW w:w="1998" w:type="dxa"/>
                </w:tcPr>
                <w:p w14:paraId="374E3795" w14:textId="77777777" w:rsidR="0000709C" w:rsidRPr="003C3D45" w:rsidRDefault="0000709C" w:rsidP="00D14313">
                  <w:pPr>
                    <w:pStyle w:val="parafullout"/>
                    <w:spacing w:before="0" w:after="0" w:line="240" w:lineRule="auto"/>
                    <w:jc w:val="both"/>
                    <w:rPr>
                      <w:rFonts w:ascii="Arial" w:hAnsi="Arial" w:cs="Arial"/>
                      <w:b/>
                      <w:sz w:val="16"/>
                      <w:szCs w:val="16"/>
                    </w:rPr>
                  </w:pPr>
                  <w:r w:rsidRPr="003C3D45">
                    <w:rPr>
                      <w:rFonts w:ascii="Arial" w:hAnsi="Arial" w:cs="Arial"/>
                      <w:b/>
                      <w:sz w:val="16"/>
                      <w:szCs w:val="16"/>
                    </w:rPr>
                    <w:t>Total value for JSE and Other exchanges</w:t>
                  </w:r>
                </w:p>
              </w:tc>
              <w:tc>
                <w:tcPr>
                  <w:tcW w:w="2458" w:type="dxa"/>
                </w:tcPr>
                <w:p w14:paraId="4EB71590" w14:textId="77777777" w:rsidR="0000709C" w:rsidRPr="003C3D45" w:rsidRDefault="0000709C" w:rsidP="00D14313">
                  <w:pPr>
                    <w:pStyle w:val="parafullout"/>
                    <w:spacing w:before="0" w:after="0" w:line="240" w:lineRule="auto"/>
                    <w:jc w:val="both"/>
                    <w:rPr>
                      <w:rFonts w:ascii="Arial" w:hAnsi="Arial" w:cs="Arial"/>
                      <w:b/>
                      <w:sz w:val="16"/>
                      <w:szCs w:val="16"/>
                    </w:rPr>
                  </w:pPr>
                  <w:r w:rsidRPr="003C3D45">
                    <w:rPr>
                      <w:rFonts w:ascii="Arial" w:hAnsi="Arial" w:cs="Arial"/>
                      <w:b/>
                      <w:sz w:val="16"/>
                      <w:szCs w:val="16"/>
                    </w:rPr>
                    <w:t>Total percentage value for JSE and Other exchanges</w:t>
                  </w:r>
                </w:p>
              </w:tc>
              <w:tc>
                <w:tcPr>
                  <w:tcW w:w="2210" w:type="dxa"/>
                </w:tcPr>
                <w:p w14:paraId="60C30542" w14:textId="77777777" w:rsidR="0000709C" w:rsidRPr="003C3D45" w:rsidRDefault="0000709C" w:rsidP="00D14313">
                  <w:pPr>
                    <w:pStyle w:val="parafullout"/>
                    <w:spacing w:before="0" w:after="0" w:line="240" w:lineRule="auto"/>
                    <w:jc w:val="both"/>
                    <w:rPr>
                      <w:rFonts w:ascii="Arial" w:hAnsi="Arial" w:cs="Arial"/>
                      <w:sz w:val="16"/>
                      <w:szCs w:val="16"/>
                    </w:rPr>
                  </w:pPr>
                </w:p>
              </w:tc>
            </w:tr>
          </w:tbl>
          <w:p w14:paraId="36117999" w14:textId="136AE73E" w:rsidR="001A0D7B" w:rsidRPr="001A0D7B" w:rsidRDefault="001A0D7B" w:rsidP="00D14313">
            <w:pPr>
              <w:jc w:val="both"/>
              <w:rPr>
                <w:rFonts w:ascii="Arial" w:hAnsi="Arial" w:cs="Arial"/>
                <w:sz w:val="20"/>
                <w:szCs w:val="20"/>
                <w:lang w:val="en-ZA"/>
              </w:rPr>
            </w:pPr>
          </w:p>
        </w:tc>
      </w:tr>
      <w:tr w:rsidR="00CE0ABA" w:rsidRPr="001940B8" w14:paraId="42771EED" w14:textId="77777777" w:rsidTr="00C56709">
        <w:trPr>
          <w:trHeight w:val="567"/>
        </w:trPr>
        <w:tc>
          <w:tcPr>
            <w:tcW w:w="977" w:type="pct"/>
            <w:tcBorders>
              <w:top w:val="single" w:sz="4" w:space="0" w:color="auto"/>
              <w:left w:val="single" w:sz="4" w:space="0" w:color="auto"/>
              <w:bottom w:val="single" w:sz="4" w:space="0" w:color="auto"/>
              <w:right w:val="single" w:sz="4" w:space="0" w:color="auto"/>
            </w:tcBorders>
          </w:tcPr>
          <w:p w14:paraId="08CDFE4B" w14:textId="3F8C3645" w:rsidR="00CE0ABA" w:rsidRPr="001940B8" w:rsidRDefault="00A10716" w:rsidP="00D14313">
            <w:pPr>
              <w:jc w:val="both"/>
              <w:rPr>
                <w:rFonts w:ascii="Arial" w:hAnsi="Arial" w:cs="Arial"/>
                <w:sz w:val="20"/>
                <w:szCs w:val="20"/>
              </w:rPr>
            </w:pPr>
            <w:r>
              <w:rPr>
                <w:rFonts w:ascii="Arial" w:hAnsi="Arial" w:cs="Arial"/>
                <w:sz w:val="20"/>
                <w:szCs w:val="20"/>
              </w:rPr>
              <w:t>3.34</w:t>
            </w:r>
          </w:p>
        </w:tc>
        <w:tc>
          <w:tcPr>
            <w:tcW w:w="1131" w:type="pct"/>
            <w:tcBorders>
              <w:top w:val="single" w:sz="4" w:space="0" w:color="auto"/>
              <w:left w:val="nil"/>
              <w:bottom w:val="single" w:sz="4" w:space="0" w:color="auto"/>
              <w:right w:val="single" w:sz="4" w:space="0" w:color="auto"/>
            </w:tcBorders>
            <w:vAlign w:val="bottom"/>
          </w:tcPr>
          <w:p w14:paraId="61A13C57" w14:textId="77777777" w:rsidR="00CE0ABA" w:rsidRPr="001940B8" w:rsidRDefault="00CE0ABA" w:rsidP="00D14313">
            <w:pPr>
              <w:jc w:val="both"/>
              <w:rPr>
                <w:rFonts w:ascii="Arial" w:hAnsi="Arial" w:cs="Arial"/>
                <w:color w:val="00B050"/>
                <w:sz w:val="20"/>
                <w:szCs w:val="20"/>
              </w:rPr>
            </w:pPr>
          </w:p>
        </w:tc>
        <w:tc>
          <w:tcPr>
            <w:tcW w:w="2892" w:type="pct"/>
            <w:tcBorders>
              <w:top w:val="single" w:sz="4" w:space="0" w:color="auto"/>
              <w:left w:val="nil"/>
              <w:bottom w:val="single" w:sz="4" w:space="0" w:color="auto"/>
              <w:right w:val="single" w:sz="4" w:space="0" w:color="auto"/>
            </w:tcBorders>
          </w:tcPr>
          <w:p w14:paraId="29972DC5" w14:textId="77777777" w:rsidR="00CE0ABA" w:rsidRDefault="00CE0ABA" w:rsidP="00D14313">
            <w:pPr>
              <w:jc w:val="both"/>
              <w:rPr>
                <w:rFonts w:ascii="Arial" w:hAnsi="Arial" w:cs="Arial"/>
                <w:sz w:val="20"/>
                <w:szCs w:val="20"/>
                <w:lang w:val="en-ZA"/>
              </w:rPr>
            </w:pPr>
            <w:r w:rsidRPr="00CE0ABA">
              <w:rPr>
                <w:rFonts w:ascii="Arial" w:hAnsi="Arial" w:cs="Arial"/>
                <w:sz w:val="20"/>
                <w:szCs w:val="20"/>
                <w:lang w:val="en-ZA"/>
              </w:rPr>
              <w:t>Common accounting policies must be used for the companies comprising the DLC structure</w:t>
            </w:r>
          </w:p>
          <w:p w14:paraId="0194BF2F" w14:textId="0E29BCE0" w:rsidR="00201395" w:rsidRDefault="00201395" w:rsidP="00D14313">
            <w:pPr>
              <w:jc w:val="both"/>
              <w:rPr>
                <w:rFonts w:ascii="Arial" w:hAnsi="Arial" w:cs="Arial"/>
                <w:sz w:val="20"/>
                <w:szCs w:val="20"/>
                <w:lang w:val="en-ZA"/>
              </w:rPr>
            </w:pPr>
          </w:p>
        </w:tc>
      </w:tr>
      <w:tr w:rsidR="008726FD" w:rsidRPr="001940B8" w14:paraId="373073BE" w14:textId="77777777" w:rsidTr="00C56709">
        <w:trPr>
          <w:trHeight w:val="567"/>
        </w:trPr>
        <w:tc>
          <w:tcPr>
            <w:tcW w:w="977" w:type="pct"/>
            <w:tcBorders>
              <w:top w:val="single" w:sz="4" w:space="0" w:color="auto"/>
              <w:left w:val="single" w:sz="4" w:space="0" w:color="auto"/>
              <w:bottom w:val="single" w:sz="4" w:space="0" w:color="auto"/>
              <w:right w:val="single" w:sz="4" w:space="0" w:color="auto"/>
            </w:tcBorders>
          </w:tcPr>
          <w:p w14:paraId="7E10D88C" w14:textId="3917E298" w:rsidR="008726FD" w:rsidRPr="002A0715" w:rsidRDefault="00A10716" w:rsidP="00D14313">
            <w:pPr>
              <w:jc w:val="both"/>
              <w:rPr>
                <w:rFonts w:ascii="Arial" w:hAnsi="Arial" w:cs="Arial"/>
                <w:sz w:val="20"/>
                <w:szCs w:val="20"/>
              </w:rPr>
            </w:pPr>
            <w:r w:rsidRPr="002A0715">
              <w:rPr>
                <w:rFonts w:ascii="Arial" w:hAnsi="Arial" w:cs="Arial"/>
                <w:sz w:val="20"/>
                <w:szCs w:val="20"/>
              </w:rPr>
              <w:t>3.35</w:t>
            </w:r>
          </w:p>
        </w:tc>
        <w:tc>
          <w:tcPr>
            <w:tcW w:w="1131" w:type="pct"/>
            <w:tcBorders>
              <w:top w:val="single" w:sz="4" w:space="0" w:color="auto"/>
              <w:left w:val="nil"/>
              <w:bottom w:val="single" w:sz="4" w:space="0" w:color="auto"/>
              <w:right w:val="single" w:sz="4" w:space="0" w:color="auto"/>
            </w:tcBorders>
            <w:vAlign w:val="bottom"/>
          </w:tcPr>
          <w:p w14:paraId="67506DF7" w14:textId="77777777" w:rsidR="008726FD" w:rsidRPr="001940B8" w:rsidRDefault="008726FD" w:rsidP="00D14313">
            <w:pPr>
              <w:jc w:val="both"/>
              <w:rPr>
                <w:rFonts w:ascii="Arial" w:hAnsi="Arial" w:cs="Arial"/>
                <w:color w:val="00B050"/>
                <w:sz w:val="20"/>
                <w:szCs w:val="20"/>
              </w:rPr>
            </w:pPr>
          </w:p>
        </w:tc>
        <w:tc>
          <w:tcPr>
            <w:tcW w:w="2892" w:type="pct"/>
            <w:tcBorders>
              <w:top w:val="single" w:sz="4" w:space="0" w:color="auto"/>
              <w:left w:val="nil"/>
              <w:bottom w:val="single" w:sz="4" w:space="0" w:color="auto"/>
              <w:right w:val="single" w:sz="4" w:space="0" w:color="auto"/>
            </w:tcBorders>
          </w:tcPr>
          <w:p w14:paraId="1A8C1633" w14:textId="77777777" w:rsidR="008726FD" w:rsidRDefault="007632CD" w:rsidP="00D14313">
            <w:pPr>
              <w:jc w:val="both"/>
              <w:rPr>
                <w:rFonts w:ascii="Arial" w:hAnsi="Arial" w:cs="Arial"/>
                <w:sz w:val="20"/>
                <w:szCs w:val="20"/>
                <w:lang w:val="en-ZA"/>
              </w:rPr>
            </w:pPr>
            <w:r w:rsidRPr="007632CD">
              <w:rPr>
                <w:rFonts w:ascii="Arial" w:hAnsi="Arial" w:cs="Arial"/>
                <w:sz w:val="20"/>
                <w:szCs w:val="20"/>
                <w:lang w:val="en-ZA"/>
              </w:rPr>
              <w:t>Annual financial statements must be announced for the merged DLC structure in accordance with IFRS or other accounting frameworks in terms of 3.16.</w:t>
            </w:r>
          </w:p>
          <w:p w14:paraId="1397875B" w14:textId="25B8C767" w:rsidR="00201395" w:rsidRPr="00CE0ABA" w:rsidRDefault="00201395" w:rsidP="00D14313">
            <w:pPr>
              <w:jc w:val="both"/>
              <w:rPr>
                <w:rFonts w:ascii="Arial" w:hAnsi="Arial" w:cs="Arial"/>
                <w:sz w:val="20"/>
                <w:szCs w:val="20"/>
                <w:lang w:val="en-ZA"/>
              </w:rPr>
            </w:pPr>
          </w:p>
        </w:tc>
      </w:tr>
      <w:tr w:rsidR="008B5317" w:rsidRPr="001940B8" w14:paraId="340B33AC" w14:textId="77777777" w:rsidTr="00C56709">
        <w:trPr>
          <w:trHeight w:val="567"/>
        </w:trPr>
        <w:tc>
          <w:tcPr>
            <w:tcW w:w="977" w:type="pct"/>
            <w:tcBorders>
              <w:top w:val="single" w:sz="4" w:space="0" w:color="auto"/>
              <w:left w:val="single" w:sz="4" w:space="0" w:color="auto"/>
              <w:bottom w:val="single" w:sz="4" w:space="0" w:color="auto"/>
              <w:right w:val="single" w:sz="4" w:space="0" w:color="auto"/>
            </w:tcBorders>
          </w:tcPr>
          <w:p w14:paraId="358502FD" w14:textId="3DC0CB62" w:rsidR="008B5317" w:rsidRPr="002A0715" w:rsidRDefault="002A0715" w:rsidP="00D14313">
            <w:pPr>
              <w:jc w:val="both"/>
              <w:rPr>
                <w:rFonts w:ascii="Arial" w:hAnsi="Arial" w:cs="Arial"/>
                <w:sz w:val="20"/>
                <w:szCs w:val="20"/>
              </w:rPr>
            </w:pPr>
            <w:r w:rsidRPr="002A0715">
              <w:rPr>
                <w:rFonts w:ascii="Arial" w:hAnsi="Arial" w:cs="Arial"/>
                <w:sz w:val="20"/>
                <w:szCs w:val="20"/>
              </w:rPr>
              <w:lastRenderedPageBreak/>
              <w:t>1.13</w:t>
            </w:r>
          </w:p>
        </w:tc>
        <w:tc>
          <w:tcPr>
            <w:tcW w:w="1131" w:type="pct"/>
            <w:tcBorders>
              <w:top w:val="single" w:sz="4" w:space="0" w:color="auto"/>
              <w:left w:val="nil"/>
              <w:bottom w:val="single" w:sz="4" w:space="0" w:color="auto"/>
              <w:right w:val="single" w:sz="4" w:space="0" w:color="auto"/>
            </w:tcBorders>
            <w:vAlign w:val="bottom"/>
          </w:tcPr>
          <w:p w14:paraId="4AD07FC6" w14:textId="77777777" w:rsidR="008B5317" w:rsidRPr="00CA39A8" w:rsidRDefault="008B5317" w:rsidP="00D14313">
            <w:pPr>
              <w:jc w:val="both"/>
              <w:rPr>
                <w:rFonts w:ascii="Arial" w:hAnsi="Arial" w:cs="Arial"/>
                <w:sz w:val="20"/>
                <w:szCs w:val="20"/>
              </w:rPr>
            </w:pPr>
          </w:p>
        </w:tc>
        <w:tc>
          <w:tcPr>
            <w:tcW w:w="2892" w:type="pct"/>
            <w:tcBorders>
              <w:top w:val="single" w:sz="4" w:space="0" w:color="auto"/>
              <w:left w:val="nil"/>
              <w:bottom w:val="single" w:sz="4" w:space="0" w:color="auto"/>
              <w:right w:val="single" w:sz="4" w:space="0" w:color="auto"/>
            </w:tcBorders>
          </w:tcPr>
          <w:p w14:paraId="65BC5A31" w14:textId="0EE82F34" w:rsidR="002067A8" w:rsidRPr="002A0715" w:rsidRDefault="00CA39A8" w:rsidP="00D14313">
            <w:pPr>
              <w:jc w:val="both"/>
              <w:rPr>
                <w:rFonts w:ascii="Arial" w:hAnsi="Arial" w:cs="Arial"/>
                <w:bCs/>
                <w:sz w:val="20"/>
                <w:szCs w:val="20"/>
              </w:rPr>
            </w:pPr>
            <w:r w:rsidRPr="00CA39A8">
              <w:rPr>
                <w:rFonts w:ascii="Arial" w:hAnsi="Arial" w:cs="Arial"/>
                <w:bCs/>
                <w:sz w:val="20"/>
                <w:szCs w:val="20"/>
              </w:rPr>
              <w:t xml:space="preserve">Annual </w:t>
            </w:r>
            <w:r w:rsidRPr="00201395">
              <w:rPr>
                <w:rFonts w:ascii="Arial" w:hAnsi="Arial" w:cs="Arial"/>
                <w:bCs/>
                <w:sz w:val="20"/>
                <w:szCs w:val="20"/>
              </w:rPr>
              <w:t xml:space="preserve">compliance certificate </w:t>
            </w:r>
            <w:r w:rsidR="002A0715" w:rsidRPr="00201395">
              <w:rPr>
                <w:rFonts w:ascii="Arial" w:hAnsi="Arial" w:cs="Arial"/>
                <w:bCs/>
                <w:sz w:val="20"/>
                <w:szCs w:val="20"/>
              </w:rPr>
              <w:t xml:space="preserve">- </w:t>
            </w:r>
            <w:r w:rsidR="002067A8" w:rsidRPr="00201395">
              <w:rPr>
                <w:rFonts w:ascii="Arial" w:hAnsi="Arial" w:cs="Arial"/>
                <w:sz w:val="20"/>
                <w:szCs w:val="20"/>
              </w:rPr>
              <w:t xml:space="preserve">Form </w:t>
            </w:r>
            <w:r w:rsidR="00201395" w:rsidRPr="00201395">
              <w:rPr>
                <w:rFonts w:ascii="Arial" w:hAnsi="Arial" w:cs="Arial"/>
                <w:sz w:val="20"/>
                <w:szCs w:val="20"/>
              </w:rPr>
              <w:t>B</w:t>
            </w:r>
            <w:r w:rsidR="002067A8" w:rsidRPr="00201395">
              <w:rPr>
                <w:rFonts w:ascii="Arial" w:hAnsi="Arial" w:cs="Arial"/>
                <w:sz w:val="20"/>
                <w:szCs w:val="20"/>
              </w:rPr>
              <w:t xml:space="preserve">1 </w:t>
            </w:r>
          </w:p>
          <w:p w14:paraId="27D2B279" w14:textId="77777777" w:rsidR="008B5317" w:rsidRDefault="2641C10A" w:rsidP="00D14313">
            <w:pPr>
              <w:jc w:val="both"/>
              <w:rPr>
                <w:rFonts w:ascii="Arial" w:hAnsi="Arial" w:cs="Arial"/>
                <w:sz w:val="20"/>
                <w:szCs w:val="20"/>
              </w:rPr>
            </w:pPr>
            <w:r w:rsidRPr="00CA39A8">
              <w:rPr>
                <w:rFonts w:ascii="Arial" w:hAnsi="Arial" w:cs="Arial"/>
                <w:sz w:val="20"/>
                <w:szCs w:val="20"/>
              </w:rPr>
              <w:t>Please include details of matters of non-compliances during the review period.</w:t>
            </w:r>
          </w:p>
          <w:p w14:paraId="3BC29CEE" w14:textId="5DFEC8F8" w:rsidR="00201395" w:rsidRPr="00CA39A8" w:rsidRDefault="00201395" w:rsidP="00D14313">
            <w:pPr>
              <w:jc w:val="both"/>
              <w:rPr>
                <w:rFonts w:ascii="Arial" w:hAnsi="Arial" w:cs="Arial"/>
                <w:sz w:val="20"/>
                <w:szCs w:val="20"/>
              </w:rPr>
            </w:pPr>
          </w:p>
        </w:tc>
      </w:tr>
    </w:tbl>
    <w:p w14:paraId="217ED879" w14:textId="77777777" w:rsidR="0072562C" w:rsidRPr="001940B8" w:rsidRDefault="0072562C" w:rsidP="00D14313">
      <w:pPr>
        <w:jc w:val="center"/>
        <w:rPr>
          <w:rFonts w:ascii="Arial" w:hAnsi="Arial" w:cs="Arial"/>
          <w:b/>
          <w:bCs/>
          <w:sz w:val="20"/>
          <w:szCs w:val="20"/>
        </w:rPr>
      </w:pPr>
    </w:p>
    <w:p w14:paraId="11DE72FB" w14:textId="7BB2A665" w:rsidR="002067A8" w:rsidRPr="00B13C47" w:rsidRDefault="002067A8" w:rsidP="00D14313">
      <w:pPr>
        <w:jc w:val="both"/>
        <w:rPr>
          <w:rFonts w:ascii="Verdana" w:hAnsi="Verdana"/>
          <w:b/>
          <w:sz w:val="18"/>
          <w:szCs w:val="18"/>
        </w:rPr>
      </w:pPr>
      <w:r w:rsidRPr="00953106">
        <w:rPr>
          <w:rFonts w:ascii="Verdana" w:hAnsi="Verdana"/>
          <w:b/>
          <w:sz w:val="18"/>
          <w:szCs w:val="18"/>
        </w:rPr>
        <w:t>Refer to Form</w:t>
      </w:r>
      <w:r w:rsidR="004251DC" w:rsidRPr="00953106">
        <w:rPr>
          <w:rFonts w:ascii="Verdana" w:hAnsi="Verdana"/>
          <w:b/>
          <w:sz w:val="18"/>
          <w:szCs w:val="18"/>
        </w:rPr>
        <w:t xml:space="preserve"> H3</w:t>
      </w:r>
      <w:r w:rsidRPr="00953106">
        <w:rPr>
          <w:rFonts w:ascii="Verdana" w:hAnsi="Verdana"/>
          <w:b/>
          <w:sz w:val="18"/>
          <w:szCs w:val="18"/>
        </w:rPr>
        <w:t xml:space="preserve"> for Accredited and Approved Exchanges (Main Board &amp; AltX)</w:t>
      </w:r>
    </w:p>
    <w:p w14:paraId="60EB4DD4" w14:textId="44D2558A" w:rsidR="007E0E7E" w:rsidRPr="004870BB" w:rsidRDefault="00953106" w:rsidP="00D14313">
      <w:pPr>
        <w:pStyle w:val="parafullout"/>
        <w:spacing w:before="0" w:after="0" w:line="240" w:lineRule="auto"/>
        <w:jc w:val="both"/>
        <w:rPr>
          <w:rFonts w:ascii="Arial" w:hAnsi="Arial" w:cs="Arial"/>
          <w:b/>
          <w:bCs/>
          <w:sz w:val="20"/>
        </w:rPr>
      </w:pPr>
      <w:r w:rsidRPr="004870BB">
        <w:rPr>
          <w:rFonts w:ascii="Arial" w:hAnsi="Arial" w:cs="Arial"/>
          <w:b/>
          <w:bCs/>
          <w:sz w:val="20"/>
        </w:rPr>
        <w:t xml:space="preserve"> </w:t>
      </w:r>
    </w:p>
    <w:sectPr w:rsidR="007E0E7E" w:rsidRPr="004870BB" w:rsidSect="00636A93">
      <w:footerReference w:type="default" r:id="rId11"/>
      <w:pgSz w:w="15840" w:h="12240" w:orient="landscape"/>
      <w:pgMar w:top="1134" w:right="1134" w:bottom="1134" w:left="1134"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81DBE" w14:textId="77777777" w:rsidR="00143FAE" w:rsidRDefault="00143FAE">
      <w:r>
        <w:separator/>
      </w:r>
    </w:p>
  </w:endnote>
  <w:endnote w:type="continuationSeparator" w:id="0">
    <w:p w14:paraId="69BD5661" w14:textId="77777777" w:rsidR="00143FAE" w:rsidRDefault="00143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F9227" w14:textId="77777777" w:rsidR="00796433" w:rsidRDefault="00796433" w:rsidP="00830AD3">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36D67">
      <w:rPr>
        <w:rStyle w:val="PageNumber"/>
        <w:noProof/>
      </w:rPr>
      <w:t>1</w:t>
    </w:r>
    <w:r>
      <w:rPr>
        <w:rStyle w:val="PageNumber"/>
      </w:rPr>
      <w:fldChar w:fldCharType="end"/>
    </w:r>
  </w:p>
  <w:p w14:paraId="7896BCFA" w14:textId="77777777" w:rsidR="00796433" w:rsidRDefault="00796433" w:rsidP="00855C5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1E048" w14:textId="77777777" w:rsidR="00143FAE" w:rsidRDefault="00143FAE">
      <w:r>
        <w:separator/>
      </w:r>
    </w:p>
  </w:footnote>
  <w:footnote w:type="continuationSeparator" w:id="0">
    <w:p w14:paraId="5A0D3B4C" w14:textId="77777777" w:rsidR="00143FAE" w:rsidRDefault="00143F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427C1C"/>
    <w:multiLevelType w:val="hybridMultilevel"/>
    <w:tmpl w:val="F87660A0"/>
    <w:lvl w:ilvl="0" w:tplc="3640BF2E">
      <w:start w:val="1"/>
      <w:numFmt w:val="lowerRoman"/>
      <w:lvlText w:val="(%1)"/>
      <w:lvlJc w:val="left"/>
      <w:pPr>
        <w:ind w:left="767" w:hanging="810"/>
      </w:pPr>
      <w:rPr>
        <w:rFonts w:hint="default"/>
      </w:rPr>
    </w:lvl>
    <w:lvl w:ilvl="1" w:tplc="04090019" w:tentative="1">
      <w:start w:val="1"/>
      <w:numFmt w:val="lowerLetter"/>
      <w:lvlText w:val="%2."/>
      <w:lvlJc w:val="left"/>
      <w:pPr>
        <w:ind w:left="1037" w:hanging="360"/>
      </w:pPr>
    </w:lvl>
    <w:lvl w:ilvl="2" w:tplc="0409001B" w:tentative="1">
      <w:start w:val="1"/>
      <w:numFmt w:val="lowerRoman"/>
      <w:lvlText w:val="%3."/>
      <w:lvlJc w:val="right"/>
      <w:pPr>
        <w:ind w:left="1757" w:hanging="180"/>
      </w:pPr>
    </w:lvl>
    <w:lvl w:ilvl="3" w:tplc="0409000F" w:tentative="1">
      <w:start w:val="1"/>
      <w:numFmt w:val="decimal"/>
      <w:lvlText w:val="%4."/>
      <w:lvlJc w:val="left"/>
      <w:pPr>
        <w:ind w:left="2477" w:hanging="360"/>
      </w:pPr>
    </w:lvl>
    <w:lvl w:ilvl="4" w:tplc="04090019" w:tentative="1">
      <w:start w:val="1"/>
      <w:numFmt w:val="lowerLetter"/>
      <w:lvlText w:val="%5."/>
      <w:lvlJc w:val="left"/>
      <w:pPr>
        <w:ind w:left="3197" w:hanging="360"/>
      </w:pPr>
    </w:lvl>
    <w:lvl w:ilvl="5" w:tplc="0409001B" w:tentative="1">
      <w:start w:val="1"/>
      <w:numFmt w:val="lowerRoman"/>
      <w:lvlText w:val="%6."/>
      <w:lvlJc w:val="right"/>
      <w:pPr>
        <w:ind w:left="3917" w:hanging="180"/>
      </w:pPr>
    </w:lvl>
    <w:lvl w:ilvl="6" w:tplc="0409000F" w:tentative="1">
      <w:start w:val="1"/>
      <w:numFmt w:val="decimal"/>
      <w:lvlText w:val="%7."/>
      <w:lvlJc w:val="left"/>
      <w:pPr>
        <w:ind w:left="4637" w:hanging="360"/>
      </w:pPr>
    </w:lvl>
    <w:lvl w:ilvl="7" w:tplc="04090019" w:tentative="1">
      <w:start w:val="1"/>
      <w:numFmt w:val="lowerLetter"/>
      <w:lvlText w:val="%8."/>
      <w:lvlJc w:val="left"/>
      <w:pPr>
        <w:ind w:left="5357" w:hanging="360"/>
      </w:pPr>
    </w:lvl>
    <w:lvl w:ilvl="8" w:tplc="0409001B" w:tentative="1">
      <w:start w:val="1"/>
      <w:numFmt w:val="lowerRoman"/>
      <w:lvlText w:val="%9."/>
      <w:lvlJc w:val="right"/>
      <w:pPr>
        <w:ind w:left="6077" w:hanging="180"/>
      </w:pPr>
    </w:lvl>
  </w:abstractNum>
  <w:abstractNum w:abstractNumId="1" w15:restartNumberingAfterBreak="0">
    <w:nsid w:val="34F73378"/>
    <w:multiLevelType w:val="hybridMultilevel"/>
    <w:tmpl w:val="96FE23D4"/>
    <w:lvl w:ilvl="0" w:tplc="E2A0B88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EB68B3"/>
    <w:multiLevelType w:val="hybridMultilevel"/>
    <w:tmpl w:val="CDD629C2"/>
    <w:lvl w:ilvl="0" w:tplc="47E21920">
      <w:start w:val="1"/>
      <w:numFmt w:val="lowerLetter"/>
      <w:lvlText w:val="%1)"/>
      <w:lvlJc w:val="left"/>
      <w:pPr>
        <w:ind w:left="720" w:hanging="360"/>
      </w:pPr>
      <w:rPr>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C64859"/>
    <w:multiLevelType w:val="hybridMultilevel"/>
    <w:tmpl w:val="740C72DA"/>
    <w:lvl w:ilvl="0" w:tplc="09AED4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0B19F2"/>
    <w:multiLevelType w:val="hybridMultilevel"/>
    <w:tmpl w:val="2654D1D8"/>
    <w:lvl w:ilvl="0" w:tplc="3B64D99E">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2B12A1"/>
    <w:multiLevelType w:val="hybridMultilevel"/>
    <w:tmpl w:val="D612FF8E"/>
    <w:lvl w:ilvl="0" w:tplc="5E182A22">
      <w:start w:val="1"/>
      <w:numFmt w:val="decimal"/>
      <w:lvlText w:val="%1)"/>
      <w:lvlJc w:val="left"/>
      <w:pPr>
        <w:tabs>
          <w:tab w:val="num" w:pos="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5DD73C81"/>
    <w:multiLevelType w:val="hybridMultilevel"/>
    <w:tmpl w:val="AA9EE27E"/>
    <w:lvl w:ilvl="0" w:tplc="E2A0B888">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615666B6"/>
    <w:multiLevelType w:val="hybridMultilevel"/>
    <w:tmpl w:val="2B5A9A16"/>
    <w:lvl w:ilvl="0" w:tplc="A59258B0">
      <w:start w:val="1"/>
      <w:numFmt w:val="decimal"/>
      <w:lvlText w:val="%1)"/>
      <w:lvlJc w:val="left"/>
      <w:pPr>
        <w:tabs>
          <w:tab w:val="num" w:pos="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15:restartNumberingAfterBreak="0">
    <w:nsid w:val="74FF3137"/>
    <w:multiLevelType w:val="hybridMultilevel"/>
    <w:tmpl w:val="AB128210"/>
    <w:lvl w:ilvl="0" w:tplc="DEF4D518">
      <w:start w:val="1"/>
      <w:numFmt w:val="lowerRoman"/>
      <w:lvlText w:val="(%1)"/>
      <w:lvlJc w:val="left"/>
      <w:pPr>
        <w:ind w:left="748" w:hanging="720"/>
      </w:pPr>
      <w:rPr>
        <w:rFonts w:hint="default"/>
      </w:rPr>
    </w:lvl>
    <w:lvl w:ilvl="1" w:tplc="1C090019" w:tentative="1">
      <w:start w:val="1"/>
      <w:numFmt w:val="lowerLetter"/>
      <w:lvlText w:val="%2."/>
      <w:lvlJc w:val="left"/>
      <w:pPr>
        <w:ind w:left="1108" w:hanging="360"/>
      </w:pPr>
    </w:lvl>
    <w:lvl w:ilvl="2" w:tplc="1C09001B" w:tentative="1">
      <w:start w:val="1"/>
      <w:numFmt w:val="lowerRoman"/>
      <w:lvlText w:val="%3."/>
      <w:lvlJc w:val="right"/>
      <w:pPr>
        <w:ind w:left="1828" w:hanging="180"/>
      </w:pPr>
    </w:lvl>
    <w:lvl w:ilvl="3" w:tplc="1C09000F" w:tentative="1">
      <w:start w:val="1"/>
      <w:numFmt w:val="decimal"/>
      <w:lvlText w:val="%4."/>
      <w:lvlJc w:val="left"/>
      <w:pPr>
        <w:ind w:left="2548" w:hanging="360"/>
      </w:pPr>
    </w:lvl>
    <w:lvl w:ilvl="4" w:tplc="1C090019" w:tentative="1">
      <w:start w:val="1"/>
      <w:numFmt w:val="lowerLetter"/>
      <w:lvlText w:val="%5."/>
      <w:lvlJc w:val="left"/>
      <w:pPr>
        <w:ind w:left="3268" w:hanging="360"/>
      </w:pPr>
    </w:lvl>
    <w:lvl w:ilvl="5" w:tplc="1C09001B" w:tentative="1">
      <w:start w:val="1"/>
      <w:numFmt w:val="lowerRoman"/>
      <w:lvlText w:val="%6."/>
      <w:lvlJc w:val="right"/>
      <w:pPr>
        <w:ind w:left="3988" w:hanging="180"/>
      </w:pPr>
    </w:lvl>
    <w:lvl w:ilvl="6" w:tplc="1C09000F" w:tentative="1">
      <w:start w:val="1"/>
      <w:numFmt w:val="decimal"/>
      <w:lvlText w:val="%7."/>
      <w:lvlJc w:val="left"/>
      <w:pPr>
        <w:ind w:left="4708" w:hanging="360"/>
      </w:pPr>
    </w:lvl>
    <w:lvl w:ilvl="7" w:tplc="1C090019" w:tentative="1">
      <w:start w:val="1"/>
      <w:numFmt w:val="lowerLetter"/>
      <w:lvlText w:val="%8."/>
      <w:lvlJc w:val="left"/>
      <w:pPr>
        <w:ind w:left="5428" w:hanging="360"/>
      </w:pPr>
    </w:lvl>
    <w:lvl w:ilvl="8" w:tplc="1C09001B" w:tentative="1">
      <w:start w:val="1"/>
      <w:numFmt w:val="lowerRoman"/>
      <w:lvlText w:val="%9."/>
      <w:lvlJc w:val="right"/>
      <w:pPr>
        <w:ind w:left="6148" w:hanging="180"/>
      </w:pPr>
    </w:lvl>
  </w:abstractNum>
  <w:abstractNum w:abstractNumId="9" w15:restartNumberingAfterBreak="0">
    <w:nsid w:val="77E149CE"/>
    <w:multiLevelType w:val="hybridMultilevel"/>
    <w:tmpl w:val="C4429C10"/>
    <w:lvl w:ilvl="0" w:tplc="5CA0E8F8">
      <w:start w:val="1"/>
      <w:numFmt w:val="decimal"/>
      <w:lvlText w:val="%1)"/>
      <w:lvlJc w:val="left"/>
      <w:pPr>
        <w:ind w:left="720" w:hanging="360"/>
      </w:pPr>
      <w:rPr>
        <w:rFonts w:ascii="Arial" w:eastAsia="Times New Roman" w:hAnsi="Arial" w:cs="Arial"/>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7A322FFF"/>
    <w:multiLevelType w:val="hybridMultilevel"/>
    <w:tmpl w:val="0F520CEE"/>
    <w:lvl w:ilvl="0" w:tplc="3B64D99E">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328946">
    <w:abstractNumId w:val="7"/>
  </w:num>
  <w:num w:numId="2" w16cid:durableId="1263564486">
    <w:abstractNumId w:val="5"/>
  </w:num>
  <w:num w:numId="3" w16cid:durableId="1541017720">
    <w:abstractNumId w:val="10"/>
  </w:num>
  <w:num w:numId="4" w16cid:durableId="1810435236">
    <w:abstractNumId w:val="0"/>
  </w:num>
  <w:num w:numId="5" w16cid:durableId="1600916758">
    <w:abstractNumId w:val="2"/>
  </w:num>
  <w:num w:numId="6" w16cid:durableId="1717586443">
    <w:abstractNumId w:val="4"/>
  </w:num>
  <w:num w:numId="7" w16cid:durableId="840513573">
    <w:abstractNumId w:val="6"/>
  </w:num>
  <w:num w:numId="8" w16cid:durableId="1016466703">
    <w:abstractNumId w:val="1"/>
  </w:num>
  <w:num w:numId="9" w16cid:durableId="75833422">
    <w:abstractNumId w:val="3"/>
  </w:num>
  <w:num w:numId="10" w16cid:durableId="751854034">
    <w:abstractNumId w:val="8"/>
  </w:num>
  <w:num w:numId="11" w16cid:durableId="12065224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830"/>
    <w:rsid w:val="00002FD9"/>
    <w:rsid w:val="0000709C"/>
    <w:rsid w:val="00011A48"/>
    <w:rsid w:val="000368F0"/>
    <w:rsid w:val="000419D8"/>
    <w:rsid w:val="00042469"/>
    <w:rsid w:val="000539F0"/>
    <w:rsid w:val="000715E7"/>
    <w:rsid w:val="00074C4C"/>
    <w:rsid w:val="00080311"/>
    <w:rsid w:val="00084818"/>
    <w:rsid w:val="00086498"/>
    <w:rsid w:val="000915DE"/>
    <w:rsid w:val="00093285"/>
    <w:rsid w:val="00093286"/>
    <w:rsid w:val="000A5A76"/>
    <w:rsid w:val="000A6251"/>
    <w:rsid w:val="000B373C"/>
    <w:rsid w:val="000B4F3E"/>
    <w:rsid w:val="000B6635"/>
    <w:rsid w:val="000C3536"/>
    <w:rsid w:val="000C53D6"/>
    <w:rsid w:val="000C7B70"/>
    <w:rsid w:val="000E2736"/>
    <w:rsid w:val="000E48BD"/>
    <w:rsid w:val="000F5EF6"/>
    <w:rsid w:val="001047ED"/>
    <w:rsid w:val="0012714A"/>
    <w:rsid w:val="00135937"/>
    <w:rsid w:val="00135E37"/>
    <w:rsid w:val="001426BF"/>
    <w:rsid w:val="00142EDA"/>
    <w:rsid w:val="00143FAE"/>
    <w:rsid w:val="001453F5"/>
    <w:rsid w:val="00160D49"/>
    <w:rsid w:val="00161018"/>
    <w:rsid w:val="00176DC3"/>
    <w:rsid w:val="00177D90"/>
    <w:rsid w:val="001827BC"/>
    <w:rsid w:val="00186D25"/>
    <w:rsid w:val="0018780A"/>
    <w:rsid w:val="00192600"/>
    <w:rsid w:val="00193DB1"/>
    <w:rsid w:val="001940B8"/>
    <w:rsid w:val="00196A60"/>
    <w:rsid w:val="001A0D7B"/>
    <w:rsid w:val="001A409E"/>
    <w:rsid w:val="001A47E3"/>
    <w:rsid w:val="001B177E"/>
    <w:rsid w:val="001B64BB"/>
    <w:rsid w:val="001D5191"/>
    <w:rsid w:val="001E14C1"/>
    <w:rsid w:val="001F6E92"/>
    <w:rsid w:val="00200D76"/>
    <w:rsid w:val="00201395"/>
    <w:rsid w:val="0020200C"/>
    <w:rsid w:val="00202049"/>
    <w:rsid w:val="002067A8"/>
    <w:rsid w:val="00213407"/>
    <w:rsid w:val="002179FC"/>
    <w:rsid w:val="002237AC"/>
    <w:rsid w:val="0022639A"/>
    <w:rsid w:val="00234FC8"/>
    <w:rsid w:val="0024004A"/>
    <w:rsid w:val="00240F4E"/>
    <w:rsid w:val="00262518"/>
    <w:rsid w:val="00266C21"/>
    <w:rsid w:val="002726F9"/>
    <w:rsid w:val="00283072"/>
    <w:rsid w:val="00292291"/>
    <w:rsid w:val="002A0715"/>
    <w:rsid w:val="002A4278"/>
    <w:rsid w:val="002B1DCA"/>
    <w:rsid w:val="002D1AC3"/>
    <w:rsid w:val="002F3A30"/>
    <w:rsid w:val="002F61F4"/>
    <w:rsid w:val="00310F45"/>
    <w:rsid w:val="00323425"/>
    <w:rsid w:val="00323EBA"/>
    <w:rsid w:val="00331297"/>
    <w:rsid w:val="00335316"/>
    <w:rsid w:val="003378BC"/>
    <w:rsid w:val="00351BFF"/>
    <w:rsid w:val="00353D20"/>
    <w:rsid w:val="00354C74"/>
    <w:rsid w:val="00356B92"/>
    <w:rsid w:val="003643F3"/>
    <w:rsid w:val="00364BC6"/>
    <w:rsid w:val="00366479"/>
    <w:rsid w:val="00371847"/>
    <w:rsid w:val="00373F86"/>
    <w:rsid w:val="00382A49"/>
    <w:rsid w:val="00382AE8"/>
    <w:rsid w:val="0038772B"/>
    <w:rsid w:val="00390203"/>
    <w:rsid w:val="003C3D45"/>
    <w:rsid w:val="003C6BFE"/>
    <w:rsid w:val="003D2AA3"/>
    <w:rsid w:val="003D40EE"/>
    <w:rsid w:val="003D6C6C"/>
    <w:rsid w:val="003F1157"/>
    <w:rsid w:val="003F1EE0"/>
    <w:rsid w:val="003F68BB"/>
    <w:rsid w:val="004050B3"/>
    <w:rsid w:val="004251DC"/>
    <w:rsid w:val="00434F9F"/>
    <w:rsid w:val="00441C65"/>
    <w:rsid w:val="004510E4"/>
    <w:rsid w:val="00452126"/>
    <w:rsid w:val="00453A18"/>
    <w:rsid w:val="00454F92"/>
    <w:rsid w:val="0045651F"/>
    <w:rsid w:val="004572ED"/>
    <w:rsid w:val="00460F21"/>
    <w:rsid w:val="0046141F"/>
    <w:rsid w:val="00466003"/>
    <w:rsid w:val="0047440E"/>
    <w:rsid w:val="00480292"/>
    <w:rsid w:val="004870BB"/>
    <w:rsid w:val="004A3955"/>
    <w:rsid w:val="004A3FF0"/>
    <w:rsid w:val="004B1E8A"/>
    <w:rsid w:val="004C741B"/>
    <w:rsid w:val="004D0291"/>
    <w:rsid w:val="004D34FE"/>
    <w:rsid w:val="004D45B1"/>
    <w:rsid w:val="004F6820"/>
    <w:rsid w:val="00500951"/>
    <w:rsid w:val="00516B05"/>
    <w:rsid w:val="00536D67"/>
    <w:rsid w:val="005571E0"/>
    <w:rsid w:val="005807EF"/>
    <w:rsid w:val="005826FE"/>
    <w:rsid w:val="005915A6"/>
    <w:rsid w:val="005A0BD3"/>
    <w:rsid w:val="005B46EB"/>
    <w:rsid w:val="005B7031"/>
    <w:rsid w:val="005C2037"/>
    <w:rsid w:val="005C3EE5"/>
    <w:rsid w:val="005C754E"/>
    <w:rsid w:val="005D6218"/>
    <w:rsid w:val="005E6DB5"/>
    <w:rsid w:val="005F10E0"/>
    <w:rsid w:val="005F6332"/>
    <w:rsid w:val="00625D38"/>
    <w:rsid w:val="00634DE3"/>
    <w:rsid w:val="00636A93"/>
    <w:rsid w:val="00636EF8"/>
    <w:rsid w:val="00645374"/>
    <w:rsid w:val="006600D4"/>
    <w:rsid w:val="00666701"/>
    <w:rsid w:val="0068201B"/>
    <w:rsid w:val="006A73CE"/>
    <w:rsid w:val="006B4FC3"/>
    <w:rsid w:val="006B5467"/>
    <w:rsid w:val="006E4CD1"/>
    <w:rsid w:val="007121F6"/>
    <w:rsid w:val="00721BBA"/>
    <w:rsid w:val="00723B86"/>
    <w:rsid w:val="0072562C"/>
    <w:rsid w:val="007324E2"/>
    <w:rsid w:val="0073419C"/>
    <w:rsid w:val="0073438C"/>
    <w:rsid w:val="00742DF2"/>
    <w:rsid w:val="00744E8F"/>
    <w:rsid w:val="00753047"/>
    <w:rsid w:val="007632CD"/>
    <w:rsid w:val="00763B2F"/>
    <w:rsid w:val="00763DAB"/>
    <w:rsid w:val="00773708"/>
    <w:rsid w:val="00775FCC"/>
    <w:rsid w:val="007769B8"/>
    <w:rsid w:val="0078222F"/>
    <w:rsid w:val="0078798B"/>
    <w:rsid w:val="0079061B"/>
    <w:rsid w:val="00791B7E"/>
    <w:rsid w:val="00791D71"/>
    <w:rsid w:val="00792C64"/>
    <w:rsid w:val="00796433"/>
    <w:rsid w:val="007A01AD"/>
    <w:rsid w:val="007A35E3"/>
    <w:rsid w:val="007A5EAE"/>
    <w:rsid w:val="007B115D"/>
    <w:rsid w:val="007B66A7"/>
    <w:rsid w:val="007D1EDE"/>
    <w:rsid w:val="007E0E7E"/>
    <w:rsid w:val="00806F7D"/>
    <w:rsid w:val="0081738E"/>
    <w:rsid w:val="0082514F"/>
    <w:rsid w:val="00826659"/>
    <w:rsid w:val="00830642"/>
    <w:rsid w:val="00830AD3"/>
    <w:rsid w:val="00832FB0"/>
    <w:rsid w:val="00855C5D"/>
    <w:rsid w:val="00860DB7"/>
    <w:rsid w:val="008661C0"/>
    <w:rsid w:val="008726FD"/>
    <w:rsid w:val="00872BB2"/>
    <w:rsid w:val="008962BA"/>
    <w:rsid w:val="00896C56"/>
    <w:rsid w:val="008A7390"/>
    <w:rsid w:val="008B3117"/>
    <w:rsid w:val="008B5317"/>
    <w:rsid w:val="008C5820"/>
    <w:rsid w:val="008C7895"/>
    <w:rsid w:val="008D6363"/>
    <w:rsid w:val="008F53F2"/>
    <w:rsid w:val="00902833"/>
    <w:rsid w:val="00917920"/>
    <w:rsid w:val="0093660E"/>
    <w:rsid w:val="00937AAC"/>
    <w:rsid w:val="00951081"/>
    <w:rsid w:val="00953106"/>
    <w:rsid w:val="00953683"/>
    <w:rsid w:val="009661F7"/>
    <w:rsid w:val="00971C8F"/>
    <w:rsid w:val="00974BB9"/>
    <w:rsid w:val="009768AA"/>
    <w:rsid w:val="00982F96"/>
    <w:rsid w:val="009949D6"/>
    <w:rsid w:val="009A1BC3"/>
    <w:rsid w:val="009B05F7"/>
    <w:rsid w:val="009B4205"/>
    <w:rsid w:val="009B57DC"/>
    <w:rsid w:val="009D56E3"/>
    <w:rsid w:val="009D6853"/>
    <w:rsid w:val="009E6D43"/>
    <w:rsid w:val="009F1260"/>
    <w:rsid w:val="009F73EF"/>
    <w:rsid w:val="00A0420B"/>
    <w:rsid w:val="00A10716"/>
    <w:rsid w:val="00A10AAF"/>
    <w:rsid w:val="00A10D59"/>
    <w:rsid w:val="00A33F89"/>
    <w:rsid w:val="00A37C85"/>
    <w:rsid w:val="00A4313A"/>
    <w:rsid w:val="00A5519D"/>
    <w:rsid w:val="00A602D5"/>
    <w:rsid w:val="00A74088"/>
    <w:rsid w:val="00A87ED2"/>
    <w:rsid w:val="00A973BD"/>
    <w:rsid w:val="00A97830"/>
    <w:rsid w:val="00AB43B4"/>
    <w:rsid w:val="00AB7234"/>
    <w:rsid w:val="00AC2F56"/>
    <w:rsid w:val="00AE04CF"/>
    <w:rsid w:val="00AE219B"/>
    <w:rsid w:val="00AF407F"/>
    <w:rsid w:val="00B02326"/>
    <w:rsid w:val="00B06BE6"/>
    <w:rsid w:val="00B07DA8"/>
    <w:rsid w:val="00B10B2E"/>
    <w:rsid w:val="00B241A4"/>
    <w:rsid w:val="00B303AB"/>
    <w:rsid w:val="00B32A4C"/>
    <w:rsid w:val="00B407B9"/>
    <w:rsid w:val="00B47E6F"/>
    <w:rsid w:val="00B561B3"/>
    <w:rsid w:val="00B62313"/>
    <w:rsid w:val="00B625C7"/>
    <w:rsid w:val="00B639A8"/>
    <w:rsid w:val="00B74CD8"/>
    <w:rsid w:val="00B8044D"/>
    <w:rsid w:val="00B90E92"/>
    <w:rsid w:val="00B9470A"/>
    <w:rsid w:val="00BA35F1"/>
    <w:rsid w:val="00BA5159"/>
    <w:rsid w:val="00BA64B2"/>
    <w:rsid w:val="00BB1850"/>
    <w:rsid w:val="00BC0DF1"/>
    <w:rsid w:val="00BC666A"/>
    <w:rsid w:val="00BD538D"/>
    <w:rsid w:val="00BE0769"/>
    <w:rsid w:val="00BE2FD9"/>
    <w:rsid w:val="00BE3C31"/>
    <w:rsid w:val="00BE4AE5"/>
    <w:rsid w:val="00BE5971"/>
    <w:rsid w:val="00BF101C"/>
    <w:rsid w:val="00C101EF"/>
    <w:rsid w:val="00C216F3"/>
    <w:rsid w:val="00C23DEB"/>
    <w:rsid w:val="00C26695"/>
    <w:rsid w:val="00C31A15"/>
    <w:rsid w:val="00C3397E"/>
    <w:rsid w:val="00C36D30"/>
    <w:rsid w:val="00C37601"/>
    <w:rsid w:val="00C42C1E"/>
    <w:rsid w:val="00C56709"/>
    <w:rsid w:val="00C61FE6"/>
    <w:rsid w:val="00C64914"/>
    <w:rsid w:val="00C70DD5"/>
    <w:rsid w:val="00C85988"/>
    <w:rsid w:val="00C903D3"/>
    <w:rsid w:val="00C95264"/>
    <w:rsid w:val="00C95AF9"/>
    <w:rsid w:val="00CA1C55"/>
    <w:rsid w:val="00CA39A8"/>
    <w:rsid w:val="00CA4ECE"/>
    <w:rsid w:val="00CA6DB9"/>
    <w:rsid w:val="00CC4617"/>
    <w:rsid w:val="00CE0ABA"/>
    <w:rsid w:val="00CF00C4"/>
    <w:rsid w:val="00D02B6F"/>
    <w:rsid w:val="00D02E93"/>
    <w:rsid w:val="00D05970"/>
    <w:rsid w:val="00D07FEA"/>
    <w:rsid w:val="00D1031F"/>
    <w:rsid w:val="00D1143A"/>
    <w:rsid w:val="00D14313"/>
    <w:rsid w:val="00D1563D"/>
    <w:rsid w:val="00D17810"/>
    <w:rsid w:val="00D25D64"/>
    <w:rsid w:val="00D44BAD"/>
    <w:rsid w:val="00D51EBB"/>
    <w:rsid w:val="00D641A1"/>
    <w:rsid w:val="00D8038D"/>
    <w:rsid w:val="00D8142F"/>
    <w:rsid w:val="00D84DBA"/>
    <w:rsid w:val="00D940B1"/>
    <w:rsid w:val="00DA193C"/>
    <w:rsid w:val="00DB4244"/>
    <w:rsid w:val="00DB4E4A"/>
    <w:rsid w:val="00DC0E3D"/>
    <w:rsid w:val="00DE4EDB"/>
    <w:rsid w:val="00DF18BF"/>
    <w:rsid w:val="00DF2EF7"/>
    <w:rsid w:val="00E22728"/>
    <w:rsid w:val="00E233D9"/>
    <w:rsid w:val="00E23980"/>
    <w:rsid w:val="00E33C5E"/>
    <w:rsid w:val="00E376C9"/>
    <w:rsid w:val="00E41009"/>
    <w:rsid w:val="00E428BA"/>
    <w:rsid w:val="00E44BC8"/>
    <w:rsid w:val="00E45077"/>
    <w:rsid w:val="00E5649A"/>
    <w:rsid w:val="00E64E95"/>
    <w:rsid w:val="00E702DA"/>
    <w:rsid w:val="00E70E9C"/>
    <w:rsid w:val="00E77DB4"/>
    <w:rsid w:val="00E96681"/>
    <w:rsid w:val="00EA1ABE"/>
    <w:rsid w:val="00EA3CEE"/>
    <w:rsid w:val="00EA6BE2"/>
    <w:rsid w:val="00EB531E"/>
    <w:rsid w:val="00EB6E81"/>
    <w:rsid w:val="00EC385C"/>
    <w:rsid w:val="00EE5E83"/>
    <w:rsid w:val="00EF0D9B"/>
    <w:rsid w:val="00EF4606"/>
    <w:rsid w:val="00EF5E3E"/>
    <w:rsid w:val="00F0267E"/>
    <w:rsid w:val="00F0505D"/>
    <w:rsid w:val="00F057DE"/>
    <w:rsid w:val="00F159DD"/>
    <w:rsid w:val="00F33365"/>
    <w:rsid w:val="00F5569A"/>
    <w:rsid w:val="00F74B06"/>
    <w:rsid w:val="00F763DA"/>
    <w:rsid w:val="00F80088"/>
    <w:rsid w:val="00F80513"/>
    <w:rsid w:val="00F82634"/>
    <w:rsid w:val="00F91EAB"/>
    <w:rsid w:val="00FA134D"/>
    <w:rsid w:val="00FA1EBF"/>
    <w:rsid w:val="00FA3416"/>
    <w:rsid w:val="00FD7B92"/>
    <w:rsid w:val="00FF2D10"/>
    <w:rsid w:val="16E0730F"/>
    <w:rsid w:val="2641C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EB9F405"/>
  <w15:docId w15:val="{A5B0D5D0-7784-4719-9632-C0FAD7D5C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31F"/>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1563D"/>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855C5D"/>
    <w:pPr>
      <w:tabs>
        <w:tab w:val="center" w:pos="4320"/>
        <w:tab w:val="right" w:pos="8640"/>
      </w:tabs>
    </w:pPr>
  </w:style>
  <w:style w:type="character" w:customStyle="1" w:styleId="FooterChar">
    <w:name w:val="Footer Char"/>
    <w:basedOn w:val="DefaultParagraphFont"/>
    <w:link w:val="Footer"/>
    <w:uiPriority w:val="99"/>
    <w:semiHidden/>
    <w:locked/>
    <w:rsid w:val="00D1031F"/>
    <w:rPr>
      <w:rFonts w:cs="Times New Roman"/>
      <w:sz w:val="24"/>
      <w:szCs w:val="24"/>
    </w:rPr>
  </w:style>
  <w:style w:type="character" w:styleId="PageNumber">
    <w:name w:val="page number"/>
    <w:basedOn w:val="DefaultParagraphFont"/>
    <w:uiPriority w:val="99"/>
    <w:rsid w:val="00855C5D"/>
    <w:rPr>
      <w:rFonts w:cs="Times New Roman"/>
    </w:rPr>
  </w:style>
  <w:style w:type="paragraph" w:styleId="BalloonText">
    <w:name w:val="Balloon Text"/>
    <w:basedOn w:val="Normal"/>
    <w:link w:val="BalloonTextChar"/>
    <w:uiPriority w:val="99"/>
    <w:semiHidden/>
    <w:unhideWhenUsed/>
    <w:rsid w:val="00084818"/>
    <w:rPr>
      <w:rFonts w:ascii="Tahoma" w:hAnsi="Tahoma" w:cs="Tahoma"/>
      <w:sz w:val="16"/>
      <w:szCs w:val="16"/>
    </w:rPr>
  </w:style>
  <w:style w:type="character" w:customStyle="1" w:styleId="BalloonTextChar">
    <w:name w:val="Balloon Text Char"/>
    <w:basedOn w:val="DefaultParagraphFont"/>
    <w:link w:val="BalloonText"/>
    <w:uiPriority w:val="99"/>
    <w:semiHidden/>
    <w:rsid w:val="00084818"/>
    <w:rPr>
      <w:rFonts w:ascii="Tahoma" w:hAnsi="Tahoma" w:cs="Tahoma"/>
      <w:sz w:val="16"/>
      <w:szCs w:val="16"/>
    </w:rPr>
  </w:style>
  <w:style w:type="character" w:styleId="CommentReference">
    <w:name w:val="annotation reference"/>
    <w:basedOn w:val="DefaultParagraphFont"/>
    <w:uiPriority w:val="99"/>
    <w:semiHidden/>
    <w:unhideWhenUsed/>
    <w:rsid w:val="005B7031"/>
    <w:rPr>
      <w:sz w:val="16"/>
      <w:szCs w:val="16"/>
    </w:rPr>
  </w:style>
  <w:style w:type="paragraph" w:styleId="CommentText">
    <w:name w:val="annotation text"/>
    <w:basedOn w:val="Normal"/>
    <w:link w:val="CommentTextChar"/>
    <w:uiPriority w:val="99"/>
    <w:semiHidden/>
    <w:unhideWhenUsed/>
    <w:rsid w:val="005B7031"/>
    <w:rPr>
      <w:sz w:val="20"/>
      <w:szCs w:val="20"/>
    </w:rPr>
  </w:style>
  <w:style w:type="character" w:customStyle="1" w:styleId="CommentTextChar">
    <w:name w:val="Comment Text Char"/>
    <w:basedOn w:val="DefaultParagraphFont"/>
    <w:link w:val="CommentText"/>
    <w:uiPriority w:val="99"/>
    <w:semiHidden/>
    <w:rsid w:val="005B7031"/>
    <w:rPr>
      <w:sz w:val="20"/>
      <w:szCs w:val="20"/>
    </w:rPr>
  </w:style>
  <w:style w:type="paragraph" w:styleId="CommentSubject">
    <w:name w:val="annotation subject"/>
    <w:basedOn w:val="CommentText"/>
    <w:next w:val="CommentText"/>
    <w:link w:val="CommentSubjectChar"/>
    <w:uiPriority w:val="99"/>
    <w:semiHidden/>
    <w:unhideWhenUsed/>
    <w:rsid w:val="005B7031"/>
    <w:rPr>
      <w:b/>
      <w:bCs/>
    </w:rPr>
  </w:style>
  <w:style w:type="character" w:customStyle="1" w:styleId="CommentSubjectChar">
    <w:name w:val="Comment Subject Char"/>
    <w:basedOn w:val="CommentTextChar"/>
    <w:link w:val="CommentSubject"/>
    <w:uiPriority w:val="99"/>
    <w:semiHidden/>
    <w:rsid w:val="005B7031"/>
    <w:rPr>
      <w:b/>
      <w:bCs/>
      <w:sz w:val="20"/>
      <w:szCs w:val="20"/>
    </w:rPr>
  </w:style>
  <w:style w:type="paragraph" w:styleId="Revision">
    <w:name w:val="Revision"/>
    <w:hidden/>
    <w:uiPriority w:val="99"/>
    <w:semiHidden/>
    <w:rsid w:val="005B7031"/>
    <w:pPr>
      <w:spacing w:after="0" w:line="240" w:lineRule="auto"/>
    </w:pPr>
    <w:rPr>
      <w:sz w:val="24"/>
      <w:szCs w:val="24"/>
    </w:rPr>
  </w:style>
  <w:style w:type="table" w:customStyle="1" w:styleId="TableGrid1">
    <w:name w:val="Table Grid1"/>
    <w:basedOn w:val="TableNormal"/>
    <w:next w:val="TableGrid"/>
    <w:uiPriority w:val="99"/>
    <w:rsid w:val="00B32A4C"/>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2600"/>
    <w:pPr>
      <w:spacing w:after="160" w:line="278" w:lineRule="auto"/>
      <w:ind w:left="720"/>
      <w:contextualSpacing/>
    </w:pPr>
    <w:rPr>
      <w:rFonts w:asciiTheme="minorHAnsi" w:eastAsiaTheme="minorHAnsi" w:hAnsiTheme="minorHAnsi" w:cstheme="minorBidi"/>
      <w:kern w:val="2"/>
      <w:lang w:val="en-ZA"/>
      <w14:ligatures w14:val="standardContextual"/>
    </w:rPr>
  </w:style>
  <w:style w:type="paragraph" w:customStyle="1" w:styleId="head1">
    <w:name w:val="head1"/>
    <w:basedOn w:val="Normal"/>
    <w:rsid w:val="005915A6"/>
    <w:pPr>
      <w:widowControl w:val="0"/>
      <w:spacing w:before="360"/>
    </w:pPr>
    <w:rPr>
      <w:b/>
      <w:szCs w:val="20"/>
      <w:lang w:val="en-GB"/>
    </w:rPr>
  </w:style>
  <w:style w:type="paragraph" w:customStyle="1" w:styleId="000">
    <w:name w:val="0.00"/>
    <w:basedOn w:val="Normal"/>
    <w:rsid w:val="00F5569A"/>
    <w:pPr>
      <w:widowControl w:val="0"/>
      <w:tabs>
        <w:tab w:val="left" w:pos="794"/>
      </w:tabs>
      <w:spacing w:before="120"/>
      <w:ind w:left="794" w:hanging="794"/>
      <w:jc w:val="both"/>
    </w:pPr>
    <w:rPr>
      <w:sz w:val="22"/>
      <w:szCs w:val="20"/>
      <w:lang w:val="en-GB"/>
    </w:rPr>
  </w:style>
  <w:style w:type="paragraph" w:customStyle="1" w:styleId="a-0000">
    <w:name w:val="(a)-00.00"/>
    <w:basedOn w:val="Normal"/>
    <w:rsid w:val="00F5569A"/>
    <w:pPr>
      <w:widowControl w:val="0"/>
      <w:tabs>
        <w:tab w:val="left" w:pos="794"/>
        <w:tab w:val="left" w:pos="1304"/>
      </w:tabs>
      <w:spacing w:before="180"/>
      <w:ind w:left="1304" w:hanging="1304"/>
      <w:jc w:val="both"/>
    </w:pPr>
    <w:rPr>
      <w:rFonts w:ascii="Verdana" w:hAnsi="Verdana"/>
      <w:sz w:val="18"/>
      <w:szCs w:val="20"/>
      <w:lang w:val="en-GB"/>
    </w:rPr>
  </w:style>
  <w:style w:type="paragraph" w:customStyle="1" w:styleId="i-0000a">
    <w:name w:val="(i)-0.000(a)"/>
    <w:basedOn w:val="Normal"/>
    <w:rsid w:val="008661C0"/>
    <w:pPr>
      <w:widowControl w:val="0"/>
      <w:tabs>
        <w:tab w:val="right" w:pos="1758"/>
        <w:tab w:val="left" w:pos="1871"/>
      </w:tabs>
      <w:spacing w:before="180"/>
      <w:ind w:left="1871" w:hanging="1871"/>
      <w:jc w:val="both"/>
    </w:pPr>
    <w:rPr>
      <w:rFonts w:ascii="Verdana" w:hAnsi="Verdana"/>
      <w:sz w:val="18"/>
      <w:szCs w:val="20"/>
      <w:lang w:val="en-GB"/>
    </w:rPr>
  </w:style>
  <w:style w:type="paragraph" w:customStyle="1" w:styleId="000aiaa">
    <w:name w:val="0.00(a)(i)(aa)"/>
    <w:basedOn w:val="Normal"/>
    <w:rsid w:val="008661C0"/>
    <w:pPr>
      <w:widowControl w:val="0"/>
      <w:tabs>
        <w:tab w:val="left" w:pos="1928"/>
        <w:tab w:val="left" w:pos="2438"/>
      </w:tabs>
      <w:spacing w:before="180"/>
      <w:ind w:left="2438" w:hanging="2438"/>
      <w:jc w:val="both"/>
    </w:pPr>
    <w:rPr>
      <w:rFonts w:ascii="Verdana" w:hAnsi="Verdana"/>
      <w:sz w:val="18"/>
      <w:szCs w:val="20"/>
      <w:lang w:val="en-GB"/>
    </w:rPr>
  </w:style>
  <w:style w:type="paragraph" w:customStyle="1" w:styleId="1-000a">
    <w:name w:val="(1)-0.00(a)"/>
    <w:basedOn w:val="Normal"/>
    <w:rsid w:val="008661C0"/>
    <w:pPr>
      <w:widowControl w:val="0"/>
      <w:tabs>
        <w:tab w:val="left" w:pos="1304"/>
        <w:tab w:val="left" w:pos="1871"/>
        <w:tab w:val="left" w:pos="2268"/>
      </w:tabs>
      <w:spacing w:before="180"/>
      <w:ind w:left="1871" w:hanging="1871"/>
      <w:jc w:val="both"/>
    </w:pPr>
    <w:rPr>
      <w:rFonts w:ascii="Verdana" w:hAnsi="Verdana"/>
      <w:sz w:val="18"/>
      <w:szCs w:val="20"/>
      <w:lang w:val="en-GB"/>
    </w:rPr>
  </w:style>
  <w:style w:type="paragraph" w:customStyle="1" w:styleId="parafullout">
    <w:name w:val="parafullout"/>
    <w:basedOn w:val="Normal"/>
    <w:rsid w:val="003D40EE"/>
    <w:pPr>
      <w:widowControl w:val="0"/>
      <w:spacing w:before="120" w:after="160" w:line="278" w:lineRule="auto"/>
    </w:pPr>
    <w:rPr>
      <w:rFonts w:asciiTheme="minorHAnsi" w:eastAsiaTheme="minorHAnsi" w:hAnsiTheme="minorHAnsi" w:cstheme="minorBidi"/>
      <w:kern w:val="2"/>
      <w:szCs w:val="20"/>
      <w:lang w:val="en-ZA"/>
      <w14:ligatures w14:val="standardContextual"/>
    </w:rPr>
  </w:style>
  <w:style w:type="paragraph" w:customStyle="1" w:styleId="head2">
    <w:name w:val="head2"/>
    <w:basedOn w:val="Normal"/>
    <w:rsid w:val="0022639A"/>
    <w:pPr>
      <w:widowControl w:val="0"/>
      <w:spacing w:before="300"/>
    </w:pPr>
    <w:rPr>
      <w:b/>
      <w:sz w:val="22"/>
      <w:szCs w:val="20"/>
      <w:lang w:val="en-GB"/>
    </w:rPr>
  </w:style>
  <w:style w:type="paragraph" w:customStyle="1" w:styleId="i-000a">
    <w:name w:val="(i)-0.00(a)"/>
    <w:basedOn w:val="Normal"/>
    <w:rsid w:val="004870BB"/>
    <w:pPr>
      <w:widowControl w:val="0"/>
      <w:tabs>
        <w:tab w:val="right" w:pos="1758"/>
        <w:tab w:val="left" w:pos="1928"/>
      </w:tabs>
      <w:spacing w:before="120"/>
      <w:ind w:left="1928" w:hanging="1928"/>
      <w:jc w:val="both"/>
    </w:pPr>
    <w:rPr>
      <w:sz w:val="22"/>
      <w:szCs w:val="20"/>
      <w:lang w:val="en-GB"/>
    </w:rPr>
  </w:style>
  <w:style w:type="paragraph" w:styleId="Header">
    <w:name w:val="header"/>
    <w:basedOn w:val="Normal"/>
    <w:link w:val="HeaderChar"/>
    <w:uiPriority w:val="99"/>
    <w:semiHidden/>
    <w:unhideWhenUsed/>
    <w:rsid w:val="00EF0D9B"/>
    <w:pPr>
      <w:tabs>
        <w:tab w:val="center" w:pos="4513"/>
        <w:tab w:val="right" w:pos="9026"/>
      </w:tabs>
    </w:pPr>
  </w:style>
  <w:style w:type="character" w:customStyle="1" w:styleId="HeaderChar">
    <w:name w:val="Header Char"/>
    <w:basedOn w:val="DefaultParagraphFont"/>
    <w:link w:val="Header"/>
    <w:uiPriority w:val="99"/>
    <w:semiHidden/>
    <w:rsid w:val="00EF0D9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20d4c4e-6ff9-4c9f-8b88-bfecc0c6e440">
      <Terms xmlns="http://schemas.microsoft.com/office/infopath/2007/PartnerControls"/>
    </lcf76f155ced4ddcb4097134ff3c332f>
    <TaxCatchAll xmlns="7e55ded4-6bfb-494c-8161-9ba6af09e1b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82FA746240FC740AD3CB72B73894C92" ma:contentTypeVersion="15" ma:contentTypeDescription="Create a new document." ma:contentTypeScope="" ma:versionID="0e02a5faa37632f83e613f6f1c2ce0c9">
  <xsd:schema xmlns:xsd="http://www.w3.org/2001/XMLSchema" xmlns:xs="http://www.w3.org/2001/XMLSchema" xmlns:p="http://schemas.microsoft.com/office/2006/metadata/properties" xmlns:ns2="920d4c4e-6ff9-4c9f-8b88-bfecc0c6e440" xmlns:ns3="7e55ded4-6bfb-494c-8161-9ba6af09e1ba" targetNamespace="http://schemas.microsoft.com/office/2006/metadata/properties" ma:root="true" ma:fieldsID="dc037349dc4ee2c262157e7974b2dbd8" ns2:_="" ns3:_="">
    <xsd:import namespace="920d4c4e-6ff9-4c9f-8b88-bfecc0c6e440"/>
    <xsd:import namespace="7e55ded4-6bfb-494c-8161-9ba6af09e1b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0d4c4e-6ff9-4c9f-8b88-bfecc0c6e4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c43239c-602c-425e-b836-5b6d8b39d6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55ded4-6bfb-494c-8161-9ba6af09e1b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103b566-d6db-4c39-b837-5cbac37e11cd}" ma:internalName="TaxCatchAll" ma:showField="CatchAllData" ma:web="7e55ded4-6bfb-494c-8161-9ba6af09e1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73234C-2777-44CA-9E8B-FB27617CEAA7}">
  <ds:schemaRefs>
    <ds:schemaRef ds:uri="http://schemas.microsoft.com/office/2006/metadata/properties"/>
    <ds:schemaRef ds:uri="http://schemas.microsoft.com/office/infopath/2007/PartnerControls"/>
    <ds:schemaRef ds:uri="920d4c4e-6ff9-4c9f-8b88-bfecc0c6e440"/>
    <ds:schemaRef ds:uri="7e55ded4-6bfb-494c-8161-9ba6af09e1ba"/>
  </ds:schemaRefs>
</ds:datastoreItem>
</file>

<file path=customXml/itemProps2.xml><?xml version="1.0" encoding="utf-8"?>
<ds:datastoreItem xmlns:ds="http://schemas.openxmlformats.org/officeDocument/2006/customXml" ds:itemID="{CD3A7ABF-AEAB-4DA9-8FC5-B3B21827CAF5}">
  <ds:schemaRefs>
    <ds:schemaRef ds:uri="http://schemas.openxmlformats.org/officeDocument/2006/bibliography"/>
  </ds:schemaRefs>
</ds:datastoreItem>
</file>

<file path=customXml/itemProps3.xml><?xml version="1.0" encoding="utf-8"?>
<ds:datastoreItem xmlns:ds="http://schemas.openxmlformats.org/officeDocument/2006/customXml" ds:itemID="{54FEB669-283A-4C7C-9E36-04DDD77326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0d4c4e-6ff9-4c9f-8b88-bfecc0c6e440"/>
    <ds:schemaRef ds:uri="7e55ded4-6bfb-494c-8161-9ba6af09e1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7169EA-8846-4C92-8DB6-EA6DCCC204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6</Pages>
  <Words>1722</Words>
  <Characters>9506</Characters>
  <Application>Microsoft Office Word</Application>
  <DocSecurity>0</DocSecurity>
  <Lines>415</Lines>
  <Paragraphs>183</Paragraphs>
  <ScaleCrop>false</ScaleCrop>
  <HeadingPairs>
    <vt:vector size="2" baseType="variant">
      <vt:variant>
        <vt:lpstr>Title</vt:lpstr>
      </vt:variant>
      <vt:variant>
        <vt:i4>1</vt:i4>
      </vt:variant>
    </vt:vector>
  </HeadingPairs>
  <TitlesOfParts>
    <vt:vector size="1" baseType="lpstr">
      <vt:lpstr>Repurchase Specific Authority</vt:lpstr>
    </vt:vector>
  </TitlesOfParts>
  <Company>I.R.I.S.</Company>
  <LinksUpToDate>false</LinksUpToDate>
  <CharactersWithSpaces>11078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Repurchase Specific Authority</dc:title>
  <dc:creator>Readiris</dc:creator>
  <cp:lastModifiedBy>Johanna van der Merwe</cp:lastModifiedBy>
  <cp:revision>50</cp:revision>
  <cp:lastPrinted>2006-02-22T09:56:00Z</cp:lastPrinted>
  <dcterms:created xsi:type="dcterms:W3CDTF">2026-05-08T11:54:00Z</dcterms:created>
  <dcterms:modified xsi:type="dcterms:W3CDTF">2026-05-08T13:32:00Z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Readiris</vt:lpwstr>
  </property>
  <property fmtid="{D5CDD505-2E9C-101B-9397-08002B2CF9AE}" pid="3" name="ContentTypeId">
    <vt:lpwstr>0x010100C82FA746240FC740AD3CB72B73894C92</vt:lpwstr>
  </property>
  <property fmtid="{D5CDD505-2E9C-101B-9397-08002B2CF9AE}" pid="4" name="JSENavigation">
    <vt:lpwstr>15;#Issuer Regulation|99067b85-c558-44a1-b781-11281df7a622</vt:lpwstr>
  </property>
  <property fmtid="{D5CDD505-2E9C-101B-9397-08002B2CF9AE}" pid="5" name="MSIP_Label_ce93fc94-2a04-4870-acee-9c0cd4b7d590_Enabled">
    <vt:lpwstr>true</vt:lpwstr>
  </property>
  <property fmtid="{D5CDD505-2E9C-101B-9397-08002B2CF9AE}" pid="6" name="MSIP_Label_ce93fc94-2a04-4870-acee-9c0cd4b7d590_SetDate">
    <vt:lpwstr>2022-09-05T12:21:18Z</vt:lpwstr>
  </property>
  <property fmtid="{D5CDD505-2E9C-101B-9397-08002B2CF9AE}" pid="7" name="MSIP_Label_ce93fc94-2a04-4870-acee-9c0cd4b7d590_Method">
    <vt:lpwstr>Standard</vt:lpwstr>
  </property>
  <property fmtid="{D5CDD505-2E9C-101B-9397-08002B2CF9AE}" pid="8" name="MSIP_Label_ce93fc94-2a04-4870-acee-9c0cd4b7d590_Name">
    <vt:lpwstr>Internal</vt:lpwstr>
  </property>
  <property fmtid="{D5CDD505-2E9C-101B-9397-08002B2CF9AE}" pid="9" name="MSIP_Label_ce93fc94-2a04-4870-acee-9c0cd4b7d590_SiteId">
    <vt:lpwstr>cffa6640-7572-4f05-9c64-cd88068c19d4</vt:lpwstr>
  </property>
  <property fmtid="{D5CDD505-2E9C-101B-9397-08002B2CF9AE}" pid="10" name="MSIP_Label_ce93fc94-2a04-4870-acee-9c0cd4b7d590_ActionId">
    <vt:lpwstr>e01ff41b-a66d-499d-9cb5-a1b2d44384e4</vt:lpwstr>
  </property>
  <property fmtid="{D5CDD505-2E9C-101B-9397-08002B2CF9AE}" pid="11" name="MSIP_Label_ce93fc94-2a04-4870-acee-9c0cd4b7d590_ContentBits">
    <vt:lpwstr>0</vt:lpwstr>
  </property>
  <property fmtid="{D5CDD505-2E9C-101B-9397-08002B2CF9AE}" pid="12" name="MediaServiceImageTags">
    <vt:lpwstr/>
  </property>
</Properties>
</file>