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86A3" w14:textId="77777777" w:rsidR="00DF6F7F" w:rsidRPr="00F75D17" w:rsidRDefault="00DF6F7F" w:rsidP="000D7408">
      <w:pPr>
        <w:autoSpaceDE w:val="0"/>
        <w:autoSpaceDN w:val="0"/>
        <w:adjustRightInd w:val="0"/>
        <w:spacing w:line="312" w:lineRule="auto"/>
        <w:rPr>
          <w:rFonts w:ascii="Calibri" w:hAnsi="Calibri" w:cs="Calibri"/>
          <w:b/>
          <w:bCs/>
          <w:color w:val="auto"/>
          <w:sz w:val="22"/>
          <w:szCs w:val="22"/>
        </w:rPr>
      </w:pPr>
      <w:r w:rsidRPr="00F75D17">
        <w:rPr>
          <w:rFonts w:ascii="Calibri" w:hAnsi="Calibri" w:cs="Calibri"/>
          <w:b/>
          <w:bCs/>
          <w:color w:val="auto"/>
          <w:sz w:val="22"/>
          <w:szCs w:val="22"/>
        </w:rPr>
        <w:t>COMMENTS TEMPLATE</w:t>
      </w:r>
    </w:p>
    <w:p w14:paraId="63BED0DD" w14:textId="77777777" w:rsidR="00DF6F7F" w:rsidRPr="00F75D17" w:rsidRDefault="00DF6F7F" w:rsidP="000D7408">
      <w:pPr>
        <w:autoSpaceDE w:val="0"/>
        <w:autoSpaceDN w:val="0"/>
        <w:adjustRightInd w:val="0"/>
        <w:spacing w:line="312" w:lineRule="auto"/>
        <w:rPr>
          <w:rFonts w:ascii="Calibri" w:hAnsi="Calibri" w:cs="Calibri"/>
          <w:b/>
          <w:bCs/>
          <w:color w:val="auto"/>
          <w:sz w:val="22"/>
          <w:szCs w:val="22"/>
        </w:rPr>
      </w:pPr>
    </w:p>
    <w:p w14:paraId="2A5F8A39" w14:textId="77777777" w:rsidR="00DF6F7F" w:rsidRPr="00F75D17" w:rsidRDefault="00DF6F7F" w:rsidP="000D7408">
      <w:pPr>
        <w:spacing w:line="312" w:lineRule="auto"/>
        <w:rPr>
          <w:rFonts w:ascii="Calibri" w:hAnsi="Calibri" w:cs="Calibri"/>
          <w:color w:val="auto"/>
          <w:sz w:val="22"/>
          <w:szCs w:val="22"/>
        </w:rPr>
      </w:pPr>
      <w:r w:rsidRPr="00F75D17">
        <w:rPr>
          <w:rFonts w:ascii="Calibri" w:hAnsi="Calibri" w:cs="Calibri"/>
          <w:b/>
          <w:bCs/>
          <w:color w:val="auto"/>
          <w:sz w:val="22"/>
          <w:szCs w:val="22"/>
        </w:rPr>
        <w:t>Name</w:t>
      </w:r>
      <w:r w:rsidRPr="00F75D17">
        <w:rPr>
          <w:rFonts w:ascii="Calibri" w:hAnsi="Calibri" w:cs="Calibri"/>
          <w:color w:val="auto"/>
          <w:sz w:val="22"/>
          <w:szCs w:val="22"/>
        </w:rPr>
        <w:t>: [………………………………………...]</w:t>
      </w:r>
    </w:p>
    <w:p w14:paraId="2E4681AD" w14:textId="77777777" w:rsidR="00DF6F7F" w:rsidRPr="00F75D17" w:rsidRDefault="00DF6F7F" w:rsidP="000D7408">
      <w:pPr>
        <w:spacing w:line="312" w:lineRule="auto"/>
        <w:rPr>
          <w:rFonts w:ascii="Calibri" w:hAnsi="Calibri" w:cs="Calibri"/>
          <w:color w:val="auto"/>
          <w:sz w:val="22"/>
          <w:szCs w:val="22"/>
        </w:rPr>
      </w:pPr>
      <w:proofErr w:type="spellStart"/>
      <w:r w:rsidRPr="00F75D17">
        <w:rPr>
          <w:rFonts w:ascii="Calibri" w:hAnsi="Calibri" w:cs="Calibri"/>
          <w:b/>
          <w:bCs/>
          <w:color w:val="auto"/>
          <w:sz w:val="22"/>
          <w:szCs w:val="22"/>
        </w:rPr>
        <w:t>Organisation</w:t>
      </w:r>
      <w:proofErr w:type="spellEnd"/>
      <w:r w:rsidRPr="00F75D17">
        <w:rPr>
          <w:rFonts w:ascii="Calibri" w:hAnsi="Calibri" w:cs="Calibri"/>
          <w:color w:val="auto"/>
          <w:sz w:val="22"/>
          <w:szCs w:val="22"/>
        </w:rPr>
        <w:t>: [………………………………]</w:t>
      </w:r>
    </w:p>
    <w:p w14:paraId="61E9A2F0" w14:textId="77777777" w:rsidR="00DF6F7F" w:rsidRPr="00F75D17" w:rsidRDefault="00DF6F7F" w:rsidP="000D7408">
      <w:pPr>
        <w:pBdr>
          <w:bottom w:val="single" w:sz="12" w:space="1" w:color="auto"/>
        </w:pBdr>
        <w:spacing w:line="312" w:lineRule="auto"/>
        <w:rPr>
          <w:rFonts w:ascii="Calibri" w:hAnsi="Calibri" w:cs="Calibri"/>
          <w:color w:val="auto"/>
          <w:sz w:val="22"/>
          <w:szCs w:val="22"/>
        </w:rPr>
      </w:pPr>
      <w:r w:rsidRPr="00F75D17">
        <w:rPr>
          <w:rFonts w:ascii="Calibri" w:hAnsi="Calibri" w:cs="Calibri"/>
          <w:b/>
          <w:bCs/>
          <w:color w:val="auto"/>
          <w:sz w:val="22"/>
          <w:szCs w:val="22"/>
        </w:rPr>
        <w:t>Date</w:t>
      </w:r>
      <w:r w:rsidRPr="00F75D17">
        <w:rPr>
          <w:rFonts w:ascii="Calibri" w:hAnsi="Calibri" w:cs="Calibri"/>
          <w:color w:val="auto"/>
          <w:sz w:val="22"/>
          <w:szCs w:val="22"/>
        </w:rPr>
        <w:t>: […………………] 2025</w:t>
      </w:r>
    </w:p>
    <w:p w14:paraId="5B1CA9E7" w14:textId="77777777" w:rsidR="00DF6F7F" w:rsidRPr="00F75D17" w:rsidRDefault="00DF6F7F" w:rsidP="000D7408">
      <w:pPr>
        <w:pBdr>
          <w:bottom w:val="single" w:sz="12" w:space="1" w:color="auto"/>
        </w:pBdr>
        <w:spacing w:line="312" w:lineRule="auto"/>
        <w:rPr>
          <w:rFonts w:ascii="Calibri" w:hAnsi="Calibri" w:cs="Calibri"/>
          <w:color w:val="auto"/>
          <w:sz w:val="22"/>
          <w:szCs w:val="22"/>
        </w:rPr>
      </w:pPr>
    </w:p>
    <w:p w14:paraId="2F0A19F0" w14:textId="77777777" w:rsidR="008409AB" w:rsidRPr="00F75D17" w:rsidRDefault="008409AB" w:rsidP="000D7408">
      <w:pPr>
        <w:rPr>
          <w:rFonts w:ascii="Calibri" w:eastAsia="Calibri" w:hAnsi="Calibri" w:cs="Calibri"/>
          <w:color w:val="auto"/>
          <w:sz w:val="22"/>
          <w:szCs w:val="22"/>
          <w:lang w:eastAsia="en-ZA"/>
        </w:rPr>
      </w:pPr>
    </w:p>
    <w:p w14:paraId="6F8FA0E3" w14:textId="77777777" w:rsidR="00E13731" w:rsidRPr="00F75D17" w:rsidRDefault="00E13731" w:rsidP="000D7408">
      <w:pPr>
        <w:rPr>
          <w:rFonts w:ascii="Calibri" w:hAnsi="Calibri" w:cs="Calibri"/>
          <w:color w:val="000000" w:themeColor="text1"/>
          <w:sz w:val="22"/>
          <w:szCs w:val="22"/>
          <w:lang w:val="en-ZA"/>
        </w:rPr>
      </w:pPr>
      <w:r w:rsidRPr="00F75D17">
        <w:rPr>
          <w:rFonts w:ascii="Calibri" w:hAnsi="Calibri" w:cs="Calibri"/>
          <w:color w:val="000000" w:themeColor="text1"/>
          <w:sz w:val="22"/>
          <w:szCs w:val="22"/>
          <w:lang w:val="en-ZA"/>
        </w:rPr>
        <w:t xml:space="preserve">To inform market participants and stakeholders of the outcomes of this Consultation Paper, the JSE will publish a response paper once it has processed all comments. The response paper will not mention any names or personal information of commentors and will only provide broad feedback on the responses received. </w:t>
      </w:r>
    </w:p>
    <w:p w14:paraId="741C1DB2" w14:textId="77777777" w:rsidR="00E13731" w:rsidRPr="00F75D17" w:rsidRDefault="00E13731" w:rsidP="000D7408">
      <w:pPr>
        <w:rPr>
          <w:rFonts w:ascii="Calibri" w:hAnsi="Calibri" w:cs="Calibri"/>
          <w:color w:val="000000" w:themeColor="text1"/>
          <w:sz w:val="22"/>
          <w:szCs w:val="22"/>
          <w:lang w:val="en-ZA"/>
        </w:rPr>
      </w:pPr>
    </w:p>
    <w:p w14:paraId="48DAE075" w14:textId="77777777" w:rsidR="00E13731" w:rsidRPr="00F75D17" w:rsidRDefault="00E13731" w:rsidP="000D7408">
      <w:pPr>
        <w:rPr>
          <w:rFonts w:ascii="Calibri" w:hAnsi="Calibri" w:cs="Calibri"/>
          <w:color w:val="000000" w:themeColor="text1"/>
          <w:sz w:val="22"/>
          <w:szCs w:val="22"/>
          <w:lang w:val="en-ZA"/>
        </w:rPr>
      </w:pPr>
      <w:r w:rsidRPr="00F75D17">
        <w:rPr>
          <w:rFonts w:ascii="Calibri" w:hAnsi="Calibri" w:cs="Calibri"/>
          <w:color w:val="000000" w:themeColor="text1"/>
          <w:sz w:val="22"/>
          <w:szCs w:val="22"/>
          <w:lang w:val="en-ZA"/>
        </w:rPr>
        <w:t xml:space="preserve">The JSE may also elect to contact commentors to obtain more clarity where required. </w:t>
      </w:r>
    </w:p>
    <w:p w14:paraId="63457780" w14:textId="77777777" w:rsidR="00E13731" w:rsidRPr="00F75D17" w:rsidRDefault="00E13731" w:rsidP="000D7408">
      <w:pPr>
        <w:rPr>
          <w:rFonts w:ascii="Calibri" w:hAnsi="Calibri" w:cs="Calibri"/>
          <w:color w:val="000000" w:themeColor="text1"/>
          <w:sz w:val="22"/>
          <w:szCs w:val="22"/>
          <w:lang w:val="en-ZA"/>
        </w:rPr>
      </w:pPr>
    </w:p>
    <w:p w14:paraId="75AC31F8" w14:textId="017A1BF4" w:rsidR="00E13731" w:rsidRPr="00F75D17" w:rsidRDefault="00E13731" w:rsidP="000D7408">
      <w:pPr>
        <w:rPr>
          <w:rFonts w:ascii="Calibri" w:eastAsia="Aptos" w:hAnsi="Calibri" w:cs="Calibri"/>
          <w:b/>
          <w:bCs/>
          <w:color w:val="auto"/>
          <w:kern w:val="2"/>
          <w:sz w:val="22"/>
          <w:szCs w:val="22"/>
          <w14:ligatures w14:val="standardContextual"/>
        </w:rPr>
      </w:pPr>
      <w:r w:rsidRPr="00F75D17">
        <w:rPr>
          <w:rFonts w:ascii="Calibri" w:hAnsi="Calibri" w:cs="Calibri"/>
          <w:color w:val="000000" w:themeColor="text1"/>
          <w:sz w:val="22"/>
          <w:szCs w:val="22"/>
          <w:lang w:val="en-ZA"/>
        </w:rPr>
        <w:t xml:space="preserve">All personal information provided will be collected, used, shared, retained and otherwise processed by the JSE in accordance with the JSE’s Privacy Policy (https://www.jse.co.za/privacy-policy). </w:t>
      </w:r>
    </w:p>
    <w:p w14:paraId="482DB47E" w14:textId="77777777" w:rsidR="0065480A" w:rsidRPr="00F75D17" w:rsidRDefault="0065480A" w:rsidP="000D7408">
      <w:pPr>
        <w:rPr>
          <w:rFonts w:ascii="Calibri" w:hAnsi="Calibri" w:cs="Calibri"/>
          <w:color w:val="auto"/>
          <w:sz w:val="22"/>
          <w:szCs w:val="22"/>
        </w:rPr>
      </w:pPr>
    </w:p>
    <w:p w14:paraId="1CA657D9" w14:textId="55E79F70" w:rsidR="00DF6F7F" w:rsidRPr="00F75D17" w:rsidRDefault="00DF6F7F" w:rsidP="000D7408">
      <w:pPr>
        <w:rPr>
          <w:rFonts w:ascii="Calibri" w:hAnsi="Calibri" w:cs="Calibri"/>
          <w:color w:val="auto"/>
          <w:sz w:val="22"/>
          <w:szCs w:val="22"/>
        </w:rPr>
      </w:pPr>
      <w:r w:rsidRPr="00F75D17">
        <w:rPr>
          <w:rFonts w:ascii="Calibri" w:hAnsi="Calibri" w:cs="Calibri"/>
          <w:color w:val="auto"/>
          <w:sz w:val="22"/>
          <w:szCs w:val="22"/>
        </w:rPr>
        <w:t xml:space="preserve">By the completion and submission of my/our comments for purposes of the </w:t>
      </w:r>
      <w:r w:rsidR="008D279B" w:rsidRPr="00F75D17">
        <w:rPr>
          <w:rFonts w:ascii="Calibri" w:hAnsi="Calibri" w:cs="Calibri"/>
          <w:color w:val="auto"/>
          <w:sz w:val="22"/>
          <w:szCs w:val="22"/>
        </w:rPr>
        <w:t>Consultation Paper</w:t>
      </w:r>
      <w:r w:rsidRPr="00F75D17">
        <w:rPr>
          <w:rFonts w:ascii="Calibri" w:hAnsi="Calibri" w:cs="Calibri"/>
          <w:color w:val="auto"/>
          <w:sz w:val="22"/>
          <w:szCs w:val="22"/>
        </w:rPr>
        <w:t xml:space="preserve"> (including personal information), I/we consent to the processing of the above personal information for the above purpose as well as the purposes set out in the JSE Privacy Policy.</w:t>
      </w:r>
    </w:p>
    <w:p w14:paraId="3484E19F" w14:textId="77777777" w:rsidR="00DF6F7F" w:rsidRPr="00F75D17" w:rsidRDefault="00DF6F7F" w:rsidP="000D7408">
      <w:pPr>
        <w:spacing w:line="312" w:lineRule="auto"/>
        <w:rPr>
          <w:rFonts w:ascii="Calibri" w:hAnsi="Calibri" w:cs="Calibri"/>
          <w:color w:val="auto"/>
          <w:sz w:val="22"/>
          <w:szCs w:val="22"/>
        </w:rPr>
      </w:pPr>
    </w:p>
    <w:p w14:paraId="68D056AB" w14:textId="77777777" w:rsidR="00DF6F7F" w:rsidRPr="00F75D17" w:rsidRDefault="00DF6F7F" w:rsidP="000D7408">
      <w:pPr>
        <w:spacing w:line="312" w:lineRule="auto"/>
        <w:rPr>
          <w:rFonts w:ascii="Calibri" w:hAnsi="Calibri" w:cs="Calibri"/>
          <w:color w:val="auto"/>
          <w:sz w:val="22"/>
          <w:szCs w:val="22"/>
        </w:rPr>
      </w:pPr>
      <w:r w:rsidRPr="00F75D17">
        <w:rPr>
          <w:rFonts w:ascii="Calibri" w:hAnsi="Calibri" w:cs="Calibri"/>
          <w:color w:val="auto"/>
          <w:sz w:val="22"/>
          <w:szCs w:val="22"/>
        </w:rPr>
        <w:t xml:space="preserve">I/We agree to the statement above: </w:t>
      </w:r>
    </w:p>
    <w:tbl>
      <w:tblPr>
        <w:tblStyle w:val="TableGrid"/>
        <w:tblW w:w="0" w:type="auto"/>
        <w:tblLook w:val="04A0" w:firstRow="1" w:lastRow="0" w:firstColumn="1" w:lastColumn="0" w:noHBand="0" w:noVBand="1"/>
      </w:tblPr>
      <w:tblGrid>
        <w:gridCol w:w="704"/>
        <w:gridCol w:w="709"/>
        <w:gridCol w:w="709"/>
        <w:gridCol w:w="708"/>
      </w:tblGrid>
      <w:tr w:rsidR="00DF6F7F" w:rsidRPr="00F75D17" w14:paraId="4907F834" w14:textId="77777777" w:rsidTr="00D03285">
        <w:tc>
          <w:tcPr>
            <w:tcW w:w="704" w:type="dxa"/>
            <w:shd w:val="clear" w:color="auto" w:fill="92D050"/>
          </w:tcPr>
          <w:p w14:paraId="1B99CA05" w14:textId="77777777" w:rsidR="00DF6F7F" w:rsidRPr="00F75D17" w:rsidRDefault="00DF6F7F" w:rsidP="000D7408">
            <w:pPr>
              <w:spacing w:line="312" w:lineRule="auto"/>
              <w:rPr>
                <w:rFonts w:ascii="Calibri" w:hAnsi="Calibri" w:cs="Calibri"/>
                <w:b/>
                <w:bCs/>
                <w:color w:val="auto"/>
                <w:sz w:val="22"/>
              </w:rPr>
            </w:pPr>
            <w:r w:rsidRPr="00F75D17">
              <w:rPr>
                <w:rFonts w:ascii="Calibri" w:hAnsi="Calibri" w:cs="Calibri"/>
                <w:b/>
                <w:bCs/>
                <w:color w:val="auto"/>
                <w:sz w:val="22"/>
              </w:rPr>
              <w:t>Yes</w:t>
            </w:r>
          </w:p>
        </w:tc>
        <w:tc>
          <w:tcPr>
            <w:tcW w:w="709" w:type="dxa"/>
            <w:shd w:val="clear" w:color="auto" w:fill="92D050"/>
          </w:tcPr>
          <w:p w14:paraId="75E7EADE" w14:textId="77777777" w:rsidR="00DF6F7F" w:rsidRPr="00F75D17" w:rsidRDefault="00DF6F7F" w:rsidP="000D7408">
            <w:pPr>
              <w:spacing w:line="312" w:lineRule="auto"/>
              <w:rPr>
                <w:rFonts w:ascii="Calibri" w:hAnsi="Calibri" w:cs="Calibri"/>
                <w:color w:val="auto"/>
                <w:sz w:val="22"/>
              </w:rPr>
            </w:pPr>
          </w:p>
        </w:tc>
        <w:tc>
          <w:tcPr>
            <w:tcW w:w="709" w:type="dxa"/>
            <w:shd w:val="clear" w:color="auto" w:fill="92D050"/>
          </w:tcPr>
          <w:p w14:paraId="5D2A4AAC" w14:textId="77777777" w:rsidR="00DF6F7F" w:rsidRPr="00F75D17" w:rsidRDefault="00DF6F7F" w:rsidP="000D7408">
            <w:pPr>
              <w:spacing w:line="312" w:lineRule="auto"/>
              <w:rPr>
                <w:rFonts w:ascii="Calibri" w:hAnsi="Calibri" w:cs="Calibri"/>
                <w:b/>
                <w:bCs/>
                <w:color w:val="auto"/>
                <w:sz w:val="22"/>
              </w:rPr>
            </w:pPr>
            <w:r w:rsidRPr="00F75D17">
              <w:rPr>
                <w:rFonts w:ascii="Calibri" w:hAnsi="Calibri" w:cs="Calibri"/>
                <w:b/>
                <w:bCs/>
                <w:color w:val="auto"/>
                <w:sz w:val="22"/>
              </w:rPr>
              <w:t>No</w:t>
            </w:r>
          </w:p>
        </w:tc>
        <w:tc>
          <w:tcPr>
            <w:tcW w:w="708" w:type="dxa"/>
            <w:shd w:val="clear" w:color="auto" w:fill="92D050"/>
          </w:tcPr>
          <w:p w14:paraId="3A7F846C" w14:textId="77777777" w:rsidR="00DF6F7F" w:rsidRPr="00F75D17" w:rsidRDefault="00DF6F7F" w:rsidP="000D7408">
            <w:pPr>
              <w:spacing w:line="312" w:lineRule="auto"/>
              <w:rPr>
                <w:rFonts w:ascii="Calibri" w:hAnsi="Calibri" w:cs="Calibri"/>
                <w:color w:val="auto"/>
                <w:sz w:val="22"/>
              </w:rPr>
            </w:pPr>
          </w:p>
        </w:tc>
      </w:tr>
    </w:tbl>
    <w:p w14:paraId="51C9BBFB" w14:textId="77777777" w:rsidR="00DF6F7F" w:rsidRPr="00F75D17" w:rsidRDefault="00DF6F7F" w:rsidP="000D7408">
      <w:pPr>
        <w:spacing w:line="312" w:lineRule="auto"/>
        <w:rPr>
          <w:rFonts w:ascii="Calibri" w:hAnsi="Calibri" w:cs="Calibri"/>
          <w:i/>
          <w:iCs/>
          <w:color w:val="auto"/>
          <w:sz w:val="22"/>
          <w:szCs w:val="22"/>
        </w:rPr>
      </w:pPr>
      <w:r w:rsidRPr="00F75D17">
        <w:rPr>
          <w:rFonts w:ascii="Calibri" w:hAnsi="Calibri" w:cs="Calibri"/>
          <w:i/>
          <w:iCs/>
          <w:color w:val="auto"/>
          <w:sz w:val="22"/>
          <w:szCs w:val="22"/>
        </w:rPr>
        <w:t>(Please tick the appropriate box before submission)</w:t>
      </w:r>
    </w:p>
    <w:p w14:paraId="433D64E6" w14:textId="77777777" w:rsidR="00DF6F7F" w:rsidRPr="00F75D17" w:rsidRDefault="00DF6F7F" w:rsidP="000D7408">
      <w:pPr>
        <w:spacing w:line="312" w:lineRule="auto"/>
        <w:rPr>
          <w:rFonts w:ascii="Calibri" w:hAnsi="Calibri" w:cs="Calibri"/>
          <w:i/>
          <w:iCs/>
          <w:color w:val="auto"/>
          <w:sz w:val="22"/>
          <w:szCs w:val="22"/>
        </w:rPr>
      </w:pPr>
    </w:p>
    <w:p w14:paraId="2554A7CB" w14:textId="77777777" w:rsidR="00DF6F7F" w:rsidRPr="00F75D17" w:rsidRDefault="00DF6F7F" w:rsidP="000D7408">
      <w:pPr>
        <w:spacing w:line="312" w:lineRule="auto"/>
        <w:rPr>
          <w:rFonts w:ascii="Calibri" w:hAnsi="Calibri" w:cs="Calibri"/>
          <w:color w:val="auto"/>
          <w:sz w:val="22"/>
          <w:szCs w:val="22"/>
        </w:rPr>
      </w:pPr>
      <w:r w:rsidRPr="00F75D17">
        <w:rPr>
          <w:rFonts w:ascii="Calibri" w:hAnsi="Calibri" w:cs="Calibri"/>
          <w:color w:val="auto"/>
          <w:sz w:val="22"/>
          <w:szCs w:val="22"/>
        </w:rPr>
        <w:br w:type="page"/>
      </w:r>
    </w:p>
    <w:p w14:paraId="3BB5E13A" w14:textId="77777777" w:rsidR="00DF6F7F" w:rsidRPr="00F75D17" w:rsidRDefault="00DF6F7F" w:rsidP="000D7408">
      <w:pPr>
        <w:spacing w:line="312" w:lineRule="auto"/>
        <w:rPr>
          <w:rFonts w:ascii="Calibri" w:hAnsi="Calibri" w:cs="Calibri"/>
          <w:b/>
          <w:bCs/>
          <w:color w:val="auto"/>
          <w:sz w:val="22"/>
          <w:szCs w:val="22"/>
        </w:rPr>
      </w:pPr>
      <w:r w:rsidRPr="00F75D17">
        <w:rPr>
          <w:rFonts w:ascii="Calibri" w:hAnsi="Calibri" w:cs="Calibri"/>
          <w:b/>
          <w:bCs/>
          <w:color w:val="auto"/>
          <w:sz w:val="22"/>
          <w:szCs w:val="22"/>
        </w:rPr>
        <w:lastRenderedPageBreak/>
        <w:t xml:space="preserve">Debt Securities </w:t>
      </w:r>
    </w:p>
    <w:p w14:paraId="4B8E36AD" w14:textId="77777777" w:rsidR="00DF6F7F" w:rsidRPr="00F75D17" w:rsidRDefault="00DF6F7F" w:rsidP="000D7408">
      <w:pPr>
        <w:spacing w:line="312" w:lineRule="auto"/>
        <w:rPr>
          <w:rFonts w:ascii="Calibri" w:hAnsi="Calibri" w:cs="Calibri"/>
          <w:color w:val="auto"/>
          <w:sz w:val="22"/>
          <w:szCs w:val="22"/>
        </w:rPr>
      </w:pPr>
    </w:p>
    <w:tbl>
      <w:tblPr>
        <w:tblStyle w:val="TableGrid"/>
        <w:tblW w:w="9918" w:type="dxa"/>
        <w:tblLook w:val="04A0" w:firstRow="1" w:lastRow="0" w:firstColumn="1" w:lastColumn="0" w:noHBand="0" w:noVBand="1"/>
      </w:tblPr>
      <w:tblGrid>
        <w:gridCol w:w="637"/>
        <w:gridCol w:w="9281"/>
      </w:tblGrid>
      <w:tr w:rsidR="00BA1888" w:rsidRPr="00F75D17" w14:paraId="638A440D" w14:textId="77777777" w:rsidTr="00BA1888">
        <w:tc>
          <w:tcPr>
            <w:tcW w:w="637" w:type="dxa"/>
            <w:shd w:val="clear" w:color="auto" w:fill="92D050"/>
          </w:tcPr>
          <w:p w14:paraId="29D46510" w14:textId="77777777" w:rsidR="00BA1888" w:rsidRPr="00F75D17" w:rsidRDefault="00BA1888" w:rsidP="000D7408">
            <w:pPr>
              <w:spacing w:line="312" w:lineRule="auto"/>
              <w:rPr>
                <w:rFonts w:ascii="Calibri" w:hAnsi="Calibri" w:cs="Calibri"/>
                <w:color w:val="auto"/>
                <w:sz w:val="22"/>
              </w:rPr>
            </w:pPr>
          </w:p>
        </w:tc>
        <w:tc>
          <w:tcPr>
            <w:tcW w:w="9281" w:type="dxa"/>
            <w:shd w:val="clear" w:color="auto" w:fill="92D050"/>
          </w:tcPr>
          <w:p w14:paraId="5435E4F6" w14:textId="7BCB10F9" w:rsidR="00BA1888" w:rsidRPr="00F75D17" w:rsidRDefault="00BA1888" w:rsidP="000D7408">
            <w:pPr>
              <w:spacing w:line="312" w:lineRule="auto"/>
              <w:rPr>
                <w:rFonts w:ascii="Calibri" w:hAnsi="Calibri" w:cs="Calibri"/>
                <w:b/>
                <w:bCs/>
                <w:color w:val="auto"/>
                <w:sz w:val="22"/>
              </w:rPr>
            </w:pPr>
          </w:p>
        </w:tc>
      </w:tr>
      <w:tr w:rsidR="00BA1888" w:rsidRPr="00F75D17" w14:paraId="3A396507" w14:textId="77777777" w:rsidTr="00BA1888">
        <w:tc>
          <w:tcPr>
            <w:tcW w:w="637" w:type="dxa"/>
            <w:shd w:val="clear" w:color="auto" w:fill="92D050"/>
          </w:tcPr>
          <w:p w14:paraId="4A61873B" w14:textId="77777777" w:rsidR="00BA1888" w:rsidRPr="00F75D17" w:rsidRDefault="00BA1888" w:rsidP="000D7408">
            <w:pPr>
              <w:spacing w:line="312" w:lineRule="auto"/>
              <w:rPr>
                <w:rFonts w:ascii="Calibri" w:hAnsi="Calibri" w:cs="Calibri"/>
                <w:color w:val="auto"/>
                <w:sz w:val="22"/>
              </w:rPr>
            </w:pPr>
            <w:r w:rsidRPr="00F75D17">
              <w:rPr>
                <w:rFonts w:ascii="Calibri" w:hAnsi="Calibri" w:cs="Calibri"/>
                <w:color w:val="auto"/>
                <w:sz w:val="22"/>
              </w:rPr>
              <w:t>1</w:t>
            </w:r>
          </w:p>
        </w:tc>
        <w:tc>
          <w:tcPr>
            <w:tcW w:w="9281" w:type="dxa"/>
          </w:tcPr>
          <w:p w14:paraId="7605EA8A" w14:textId="58691758" w:rsidR="003851C0" w:rsidRPr="003851C0" w:rsidRDefault="003851C0" w:rsidP="003851C0">
            <w:pPr>
              <w:autoSpaceDE w:val="0"/>
              <w:autoSpaceDN w:val="0"/>
              <w:adjustRightInd w:val="0"/>
              <w:spacing w:line="312" w:lineRule="auto"/>
              <w:rPr>
                <w:rFonts w:ascii="Calibri" w:hAnsi="Calibri" w:cs="Calibri"/>
                <w:b/>
                <w:bCs/>
                <w:sz w:val="22"/>
              </w:rPr>
            </w:pPr>
            <w:r w:rsidRPr="003851C0">
              <w:rPr>
                <w:rFonts w:ascii="Calibri" w:hAnsi="Calibri" w:cs="Calibri"/>
                <w:b/>
                <w:bCs/>
                <w:sz w:val="22"/>
              </w:rPr>
              <w:t>New listing announcements and tap issue announcements for debt securities</w:t>
            </w:r>
          </w:p>
          <w:p w14:paraId="3B924D6E" w14:textId="77777777" w:rsidR="00A54216" w:rsidRPr="003851C0" w:rsidRDefault="00A54216" w:rsidP="000D7408">
            <w:pPr>
              <w:rPr>
                <w:rFonts w:ascii="Calibri" w:hAnsi="Calibri" w:cs="Calibri"/>
                <w:b/>
                <w:bCs/>
                <w:color w:val="auto"/>
                <w:sz w:val="22"/>
              </w:rPr>
            </w:pPr>
          </w:p>
          <w:p w14:paraId="581D3BC5" w14:textId="77777777" w:rsidR="00A54216" w:rsidRPr="003851C0" w:rsidRDefault="00A54216" w:rsidP="000D7408">
            <w:pPr>
              <w:pStyle w:val="ListParagraph"/>
              <w:numPr>
                <w:ilvl w:val="0"/>
                <w:numId w:val="3"/>
              </w:numPr>
              <w:spacing w:after="0" w:line="240" w:lineRule="auto"/>
              <w:contextualSpacing w:val="0"/>
              <w:jc w:val="both"/>
              <w:rPr>
                <w:rFonts w:ascii="Calibri" w:hAnsi="Calibri" w:cs="Calibri"/>
                <w:sz w:val="22"/>
              </w:rPr>
            </w:pPr>
            <w:r w:rsidRPr="003851C0">
              <w:rPr>
                <w:rFonts w:ascii="Calibri" w:hAnsi="Calibri" w:cs="Calibri"/>
                <w:sz w:val="22"/>
              </w:rPr>
              <w:t>The JSE is proposing that the new listing and tap issue announcements are removed from the DSS Requirements on the basis that this information is already known to the initial investors in these instruments and does not provide the market with any new or additional information.</w:t>
            </w:r>
          </w:p>
          <w:p w14:paraId="19DBBB7B" w14:textId="77777777" w:rsidR="007F4036" w:rsidRPr="003851C0" w:rsidRDefault="007F4036" w:rsidP="007F4036">
            <w:pPr>
              <w:pStyle w:val="ListParagraph"/>
              <w:spacing w:after="0" w:line="240" w:lineRule="auto"/>
              <w:contextualSpacing w:val="0"/>
              <w:jc w:val="both"/>
              <w:rPr>
                <w:rFonts w:ascii="Calibri" w:hAnsi="Calibri" w:cs="Calibri"/>
                <w:sz w:val="22"/>
              </w:rPr>
            </w:pPr>
          </w:p>
          <w:p w14:paraId="748AD033" w14:textId="77777777" w:rsidR="00A54216" w:rsidRPr="00F75D17" w:rsidRDefault="00A54216" w:rsidP="000D7408">
            <w:pPr>
              <w:pStyle w:val="ListParagraph"/>
              <w:numPr>
                <w:ilvl w:val="0"/>
                <w:numId w:val="3"/>
              </w:numPr>
              <w:spacing w:after="0" w:line="240" w:lineRule="auto"/>
              <w:contextualSpacing w:val="0"/>
              <w:jc w:val="both"/>
              <w:rPr>
                <w:rFonts w:ascii="Calibri" w:hAnsi="Calibri" w:cs="Calibri"/>
                <w:sz w:val="22"/>
              </w:rPr>
            </w:pPr>
            <w:r w:rsidRPr="003851C0">
              <w:rPr>
                <w:rFonts w:ascii="Calibri" w:hAnsi="Calibri" w:cs="Calibri"/>
                <w:sz w:val="22"/>
              </w:rPr>
              <w:t>Does the market or investors</w:t>
            </w:r>
            <w:r w:rsidRPr="00F75D17">
              <w:rPr>
                <w:rFonts w:ascii="Calibri" w:hAnsi="Calibri" w:cs="Calibri"/>
                <w:sz w:val="22"/>
              </w:rPr>
              <w:t xml:space="preserve"> require this information and if so, how often is this information required? </w:t>
            </w:r>
          </w:p>
          <w:p w14:paraId="2147F4F4" w14:textId="77777777" w:rsidR="007F4036" w:rsidRPr="00F75D17" w:rsidRDefault="007F4036" w:rsidP="007F4036">
            <w:pPr>
              <w:pStyle w:val="ListParagraph"/>
              <w:spacing w:after="0" w:line="240" w:lineRule="auto"/>
              <w:contextualSpacing w:val="0"/>
              <w:jc w:val="both"/>
              <w:rPr>
                <w:rFonts w:ascii="Calibri" w:hAnsi="Calibri" w:cs="Calibri"/>
                <w:sz w:val="22"/>
              </w:rPr>
            </w:pPr>
          </w:p>
          <w:p w14:paraId="0C623A5A" w14:textId="77777777" w:rsidR="00A54216" w:rsidRPr="00F75D17" w:rsidRDefault="00A54216" w:rsidP="000D7408">
            <w:pPr>
              <w:pStyle w:val="ListParagraph"/>
              <w:numPr>
                <w:ilvl w:val="0"/>
                <w:numId w:val="3"/>
              </w:numPr>
              <w:spacing w:after="0" w:line="240" w:lineRule="auto"/>
              <w:contextualSpacing w:val="0"/>
              <w:jc w:val="both"/>
              <w:rPr>
                <w:rFonts w:ascii="Calibri" w:hAnsi="Calibri" w:cs="Calibri"/>
                <w:sz w:val="22"/>
              </w:rPr>
            </w:pPr>
            <w:r w:rsidRPr="00F75D17">
              <w:rPr>
                <w:rFonts w:ascii="Calibri" w:hAnsi="Calibri" w:cs="Calibri"/>
                <w:sz w:val="22"/>
              </w:rPr>
              <w:t xml:space="preserve">Should the requirement for new listings be retained and that for tap issues only be removed?   </w:t>
            </w:r>
          </w:p>
          <w:p w14:paraId="4A379E34" w14:textId="77777777" w:rsidR="00BA1888" w:rsidRPr="00F75D17" w:rsidRDefault="00BA1888" w:rsidP="000D7408">
            <w:pPr>
              <w:rPr>
                <w:rFonts w:ascii="Calibri" w:hAnsi="Calibri" w:cs="Calibri"/>
                <w:b/>
                <w:bCs/>
                <w:color w:val="auto"/>
                <w:sz w:val="22"/>
              </w:rPr>
            </w:pPr>
          </w:p>
          <w:p w14:paraId="7B0F4785" w14:textId="4BC75135" w:rsidR="00BA1888" w:rsidRPr="00F75D17" w:rsidRDefault="00BA1888" w:rsidP="000D7408">
            <w:pPr>
              <w:pStyle w:val="ListParagraph"/>
              <w:spacing w:after="0" w:line="240" w:lineRule="auto"/>
              <w:contextualSpacing w:val="0"/>
              <w:jc w:val="both"/>
              <w:rPr>
                <w:rFonts w:ascii="Calibri" w:hAnsi="Calibri" w:cs="Calibri"/>
                <w:sz w:val="22"/>
              </w:rPr>
            </w:pPr>
          </w:p>
        </w:tc>
      </w:tr>
      <w:tr w:rsidR="00BA1888" w:rsidRPr="00F75D17" w14:paraId="451B8544" w14:textId="77777777" w:rsidTr="00BA1888">
        <w:tc>
          <w:tcPr>
            <w:tcW w:w="637" w:type="dxa"/>
            <w:shd w:val="clear" w:color="auto" w:fill="92D050"/>
          </w:tcPr>
          <w:p w14:paraId="46E5919D" w14:textId="77777777" w:rsidR="00BA1888" w:rsidRPr="00F75D17" w:rsidRDefault="00BA1888" w:rsidP="000D7408">
            <w:pPr>
              <w:spacing w:line="312" w:lineRule="auto"/>
              <w:rPr>
                <w:rFonts w:ascii="Calibri" w:hAnsi="Calibri" w:cs="Calibri"/>
                <w:color w:val="auto"/>
                <w:sz w:val="22"/>
              </w:rPr>
            </w:pPr>
            <w:r w:rsidRPr="00F75D17">
              <w:rPr>
                <w:rFonts w:ascii="Calibri" w:hAnsi="Calibri" w:cs="Calibri"/>
                <w:color w:val="auto"/>
                <w:sz w:val="22"/>
              </w:rPr>
              <w:t>2</w:t>
            </w:r>
          </w:p>
        </w:tc>
        <w:tc>
          <w:tcPr>
            <w:tcW w:w="9281" w:type="dxa"/>
          </w:tcPr>
          <w:p w14:paraId="7010063B" w14:textId="6E3F4238" w:rsidR="00BA1888" w:rsidRPr="003851C0" w:rsidRDefault="00CC3140" w:rsidP="003851C0">
            <w:pPr>
              <w:autoSpaceDE w:val="0"/>
              <w:autoSpaceDN w:val="0"/>
              <w:adjustRightInd w:val="0"/>
              <w:spacing w:line="312" w:lineRule="auto"/>
              <w:rPr>
                <w:rFonts w:ascii="Calibri" w:hAnsi="Calibri" w:cs="Calibri"/>
                <w:b/>
                <w:bCs/>
                <w:color w:val="auto"/>
                <w:sz w:val="22"/>
              </w:rPr>
            </w:pPr>
            <w:r w:rsidRPr="003851C0">
              <w:rPr>
                <w:rFonts w:ascii="Calibri" w:hAnsi="Calibri" w:cs="Calibri"/>
                <w:b/>
                <w:bCs/>
                <w:sz w:val="22"/>
              </w:rPr>
              <w:t xml:space="preserve">Interest payment announcements for debt securities </w:t>
            </w:r>
          </w:p>
          <w:p w14:paraId="31CBE93D" w14:textId="77777777" w:rsidR="00BA1888" w:rsidRPr="00CC3140" w:rsidRDefault="00BA1888" w:rsidP="000D7408">
            <w:pPr>
              <w:spacing w:line="312" w:lineRule="auto"/>
              <w:rPr>
                <w:rFonts w:ascii="Calibri" w:hAnsi="Calibri" w:cs="Calibri"/>
                <w:color w:val="auto"/>
                <w:sz w:val="22"/>
              </w:rPr>
            </w:pPr>
          </w:p>
          <w:p w14:paraId="209DB9F9" w14:textId="77777777" w:rsidR="001B7CA7" w:rsidRPr="00CC3140" w:rsidRDefault="001B7CA7" w:rsidP="000D7408">
            <w:pPr>
              <w:pStyle w:val="ListParagraph"/>
              <w:numPr>
                <w:ilvl w:val="0"/>
                <w:numId w:val="4"/>
              </w:numPr>
              <w:spacing w:after="0" w:line="240" w:lineRule="auto"/>
              <w:contextualSpacing w:val="0"/>
              <w:jc w:val="both"/>
              <w:rPr>
                <w:rFonts w:ascii="Calibri" w:hAnsi="Calibri" w:cs="Calibri"/>
                <w:sz w:val="22"/>
              </w:rPr>
            </w:pPr>
            <w:r w:rsidRPr="00CC3140">
              <w:rPr>
                <w:rFonts w:ascii="Calibri" w:hAnsi="Calibri" w:cs="Calibri"/>
                <w:sz w:val="22"/>
              </w:rPr>
              <w:t>The JSE is proposing that the interest payment announcements in respect of JIBAR-linked and fixed rate debt securities are specifically excluded from the DSS Requirements, on the basis that this information can be determined based on the publicly available terms and conditions. The interest payment announcements in respect of all other debt securities must still be published on SENS.</w:t>
            </w:r>
          </w:p>
          <w:p w14:paraId="1D940051" w14:textId="77777777" w:rsidR="007F4036" w:rsidRPr="00CC3140" w:rsidRDefault="007F4036" w:rsidP="007F4036">
            <w:pPr>
              <w:pStyle w:val="ListParagraph"/>
              <w:spacing w:after="0" w:line="240" w:lineRule="auto"/>
              <w:contextualSpacing w:val="0"/>
              <w:jc w:val="both"/>
              <w:rPr>
                <w:rFonts w:ascii="Calibri" w:hAnsi="Calibri" w:cs="Calibri"/>
                <w:sz w:val="22"/>
              </w:rPr>
            </w:pPr>
          </w:p>
          <w:p w14:paraId="5DF437F5" w14:textId="77777777" w:rsidR="001B7CA7" w:rsidRPr="00CC3140" w:rsidRDefault="001B7CA7" w:rsidP="000D7408">
            <w:pPr>
              <w:pStyle w:val="ListParagraph"/>
              <w:numPr>
                <w:ilvl w:val="0"/>
                <w:numId w:val="4"/>
              </w:numPr>
              <w:spacing w:after="0" w:line="240" w:lineRule="auto"/>
              <w:contextualSpacing w:val="0"/>
              <w:jc w:val="both"/>
              <w:rPr>
                <w:rFonts w:ascii="Calibri" w:hAnsi="Calibri" w:cs="Calibri"/>
                <w:sz w:val="22"/>
              </w:rPr>
            </w:pPr>
            <w:r w:rsidRPr="00CC3140">
              <w:rPr>
                <w:rFonts w:ascii="Calibri" w:hAnsi="Calibri" w:cs="Calibri"/>
                <w:sz w:val="22"/>
              </w:rPr>
              <w:t xml:space="preserve">Does the market have any concerns with the removal of this announcement for the above-mentioned debt securities?  </w:t>
            </w:r>
          </w:p>
          <w:p w14:paraId="4ACFD6B4" w14:textId="77777777" w:rsidR="007F4036" w:rsidRPr="00CC3140" w:rsidRDefault="007F4036" w:rsidP="007F4036">
            <w:pPr>
              <w:pStyle w:val="ListParagraph"/>
              <w:rPr>
                <w:rFonts w:ascii="Calibri" w:hAnsi="Calibri" w:cs="Calibri"/>
                <w:sz w:val="22"/>
              </w:rPr>
            </w:pPr>
          </w:p>
          <w:p w14:paraId="21AB7C64" w14:textId="77777777" w:rsidR="007F4036" w:rsidRPr="00CC3140" w:rsidRDefault="007F4036" w:rsidP="007F4036">
            <w:pPr>
              <w:pStyle w:val="ListParagraph"/>
              <w:spacing w:after="0" w:line="240" w:lineRule="auto"/>
              <w:contextualSpacing w:val="0"/>
              <w:jc w:val="both"/>
              <w:rPr>
                <w:rFonts w:ascii="Calibri" w:hAnsi="Calibri" w:cs="Calibri"/>
                <w:sz w:val="22"/>
              </w:rPr>
            </w:pPr>
          </w:p>
          <w:p w14:paraId="7D139C2D" w14:textId="77777777" w:rsidR="001B7CA7" w:rsidRPr="00CC3140" w:rsidRDefault="001B7CA7" w:rsidP="000D7408">
            <w:pPr>
              <w:pStyle w:val="ListParagraph"/>
              <w:numPr>
                <w:ilvl w:val="0"/>
                <w:numId w:val="4"/>
              </w:numPr>
              <w:spacing w:after="0" w:line="240" w:lineRule="auto"/>
              <w:contextualSpacing w:val="0"/>
              <w:jc w:val="both"/>
              <w:rPr>
                <w:rFonts w:ascii="Calibri" w:hAnsi="Calibri" w:cs="Calibri"/>
                <w:sz w:val="22"/>
              </w:rPr>
            </w:pPr>
            <w:r w:rsidRPr="00CC3140">
              <w:rPr>
                <w:rFonts w:ascii="Calibri" w:hAnsi="Calibri" w:cs="Calibri"/>
                <w:sz w:val="22"/>
              </w:rPr>
              <w:t xml:space="preserve">Should this requirement remain for asset-backed debt securities and only be removed for all other debt security instrument types? </w:t>
            </w:r>
          </w:p>
          <w:p w14:paraId="6DE32B07" w14:textId="77777777" w:rsidR="00BA1888" w:rsidRPr="00CC3140" w:rsidRDefault="00BA1888" w:rsidP="000D7408">
            <w:pPr>
              <w:spacing w:line="312" w:lineRule="auto"/>
              <w:rPr>
                <w:rFonts w:ascii="Calibri" w:hAnsi="Calibri" w:cs="Calibri"/>
                <w:color w:val="auto"/>
                <w:sz w:val="22"/>
              </w:rPr>
            </w:pPr>
          </w:p>
          <w:p w14:paraId="3EF69DA9" w14:textId="77777777" w:rsidR="00BA1888" w:rsidRPr="00CC3140" w:rsidRDefault="00BA1888" w:rsidP="000D7408">
            <w:pPr>
              <w:rPr>
                <w:rFonts w:ascii="Calibri" w:hAnsi="Calibri" w:cs="Calibri"/>
                <w:color w:val="auto"/>
                <w:sz w:val="22"/>
              </w:rPr>
            </w:pPr>
          </w:p>
        </w:tc>
      </w:tr>
      <w:tr w:rsidR="00BA1888" w:rsidRPr="00F75D17" w14:paraId="7BC52CB4" w14:textId="77777777" w:rsidTr="00BA1888">
        <w:tc>
          <w:tcPr>
            <w:tcW w:w="637" w:type="dxa"/>
            <w:shd w:val="clear" w:color="auto" w:fill="92D050"/>
          </w:tcPr>
          <w:p w14:paraId="4BD4521A" w14:textId="77777777" w:rsidR="00BA1888" w:rsidRPr="00F75D17" w:rsidRDefault="00BA1888" w:rsidP="000D7408">
            <w:pPr>
              <w:spacing w:line="312" w:lineRule="auto"/>
              <w:rPr>
                <w:rFonts w:ascii="Calibri" w:hAnsi="Calibri" w:cs="Calibri"/>
                <w:color w:val="auto"/>
                <w:sz w:val="22"/>
              </w:rPr>
            </w:pPr>
            <w:r w:rsidRPr="00F75D17">
              <w:rPr>
                <w:rFonts w:ascii="Calibri" w:hAnsi="Calibri" w:cs="Calibri"/>
                <w:color w:val="auto"/>
                <w:sz w:val="22"/>
              </w:rPr>
              <w:t>3</w:t>
            </w:r>
          </w:p>
        </w:tc>
        <w:tc>
          <w:tcPr>
            <w:tcW w:w="9281" w:type="dxa"/>
          </w:tcPr>
          <w:p w14:paraId="2B5E8577" w14:textId="05157D31" w:rsidR="00BA1888" w:rsidRPr="003851C0" w:rsidRDefault="00D53D06" w:rsidP="003851C0">
            <w:pPr>
              <w:autoSpaceDE w:val="0"/>
              <w:autoSpaceDN w:val="0"/>
              <w:adjustRightInd w:val="0"/>
              <w:spacing w:line="312" w:lineRule="auto"/>
              <w:rPr>
                <w:rFonts w:ascii="Calibri" w:hAnsi="Calibri" w:cs="Calibri"/>
                <w:b/>
                <w:bCs/>
                <w:color w:val="auto"/>
                <w:sz w:val="22"/>
              </w:rPr>
            </w:pPr>
            <w:r w:rsidRPr="003851C0">
              <w:rPr>
                <w:rFonts w:ascii="Calibri" w:hAnsi="Calibri" w:cs="Calibri"/>
                <w:b/>
                <w:bCs/>
                <w:sz w:val="22"/>
              </w:rPr>
              <w:t xml:space="preserve">Repurchases of debt securities </w:t>
            </w:r>
          </w:p>
          <w:p w14:paraId="22CCF0C2" w14:textId="77777777" w:rsidR="008D7736" w:rsidRPr="00D53D06" w:rsidRDefault="008D7736" w:rsidP="000D7408">
            <w:pPr>
              <w:rPr>
                <w:rFonts w:ascii="Calibri" w:hAnsi="Calibri" w:cs="Calibri"/>
                <w:b/>
                <w:bCs/>
                <w:color w:val="auto"/>
                <w:sz w:val="22"/>
              </w:rPr>
            </w:pPr>
          </w:p>
          <w:p w14:paraId="6D9FAC63" w14:textId="77777777" w:rsidR="008D7736" w:rsidRPr="00D53D06" w:rsidRDefault="008D7736" w:rsidP="000D7408">
            <w:pPr>
              <w:pStyle w:val="ListParagraph"/>
              <w:numPr>
                <w:ilvl w:val="0"/>
                <w:numId w:val="5"/>
              </w:numPr>
              <w:spacing w:after="0" w:line="240" w:lineRule="auto"/>
              <w:contextualSpacing w:val="0"/>
              <w:jc w:val="both"/>
              <w:rPr>
                <w:rFonts w:ascii="Calibri" w:hAnsi="Calibri" w:cs="Calibri"/>
                <w:sz w:val="22"/>
              </w:rPr>
            </w:pPr>
            <w:r w:rsidRPr="00D53D06">
              <w:rPr>
                <w:rFonts w:ascii="Calibri" w:hAnsi="Calibri" w:cs="Calibri"/>
                <w:sz w:val="22"/>
              </w:rPr>
              <w:t>There are a large number of announcements in this regard on SENS. It is therefore difficult to find relevant information on an issuer of debt securities amidst these announcements.</w:t>
            </w:r>
          </w:p>
          <w:p w14:paraId="22A72B07" w14:textId="77777777" w:rsidR="007F4036" w:rsidRPr="00D53D06" w:rsidRDefault="007F4036" w:rsidP="007F4036">
            <w:pPr>
              <w:pStyle w:val="ListParagraph"/>
              <w:spacing w:after="0" w:line="240" w:lineRule="auto"/>
              <w:contextualSpacing w:val="0"/>
              <w:jc w:val="both"/>
              <w:rPr>
                <w:rFonts w:ascii="Calibri" w:hAnsi="Calibri" w:cs="Calibri"/>
                <w:sz w:val="22"/>
              </w:rPr>
            </w:pPr>
          </w:p>
          <w:p w14:paraId="21A54116" w14:textId="77777777" w:rsidR="008D7736" w:rsidRPr="00F75D17" w:rsidRDefault="008D7736" w:rsidP="000D7408">
            <w:pPr>
              <w:pStyle w:val="ListParagraph"/>
              <w:numPr>
                <w:ilvl w:val="0"/>
                <w:numId w:val="5"/>
              </w:numPr>
              <w:spacing w:after="0" w:line="240" w:lineRule="auto"/>
              <w:contextualSpacing w:val="0"/>
              <w:jc w:val="both"/>
              <w:rPr>
                <w:rFonts w:ascii="Calibri" w:hAnsi="Calibri" w:cs="Calibri"/>
                <w:sz w:val="22"/>
              </w:rPr>
            </w:pPr>
            <w:r w:rsidRPr="00D53D06">
              <w:rPr>
                <w:rFonts w:ascii="Calibri" w:hAnsi="Calibri" w:cs="Calibri"/>
                <w:sz w:val="22"/>
              </w:rPr>
              <w:t>The announcements may not add value to market participants as (i)</w:t>
            </w:r>
            <w:r w:rsidRPr="00F75D17">
              <w:rPr>
                <w:rFonts w:ascii="Calibri" w:hAnsi="Calibri" w:cs="Calibri"/>
                <w:sz w:val="22"/>
              </w:rPr>
              <w:t xml:space="preserve"> the trades for the repurchases are done prior to the announcement being released and investors from whom the repurchases are made are therefore aware of the terms and conditions of the repurchase and (ii) the information contained in the announcement may not be considered price sensitive or material to remaining investors. </w:t>
            </w:r>
          </w:p>
          <w:p w14:paraId="6432EDC9" w14:textId="77777777" w:rsidR="00BA1888" w:rsidRPr="00F75D17" w:rsidRDefault="00BA1888" w:rsidP="000D7408">
            <w:pPr>
              <w:spacing w:line="312" w:lineRule="auto"/>
              <w:rPr>
                <w:rFonts w:ascii="Calibri" w:hAnsi="Calibri" w:cs="Calibri"/>
                <w:color w:val="auto"/>
                <w:sz w:val="22"/>
              </w:rPr>
            </w:pPr>
          </w:p>
          <w:p w14:paraId="49354A48" w14:textId="115D5C06" w:rsidR="00BA1888" w:rsidRPr="00F75D17" w:rsidRDefault="00BA1888" w:rsidP="000D7408">
            <w:pPr>
              <w:spacing w:line="312" w:lineRule="auto"/>
              <w:rPr>
                <w:rFonts w:ascii="Calibri" w:hAnsi="Calibri" w:cs="Calibri"/>
                <w:color w:val="auto"/>
                <w:sz w:val="22"/>
              </w:rPr>
            </w:pPr>
          </w:p>
        </w:tc>
      </w:tr>
    </w:tbl>
    <w:p w14:paraId="5650F97D" w14:textId="77777777" w:rsidR="00DF6F7F" w:rsidRPr="00F75D17" w:rsidRDefault="00DF6F7F" w:rsidP="000D7408">
      <w:pPr>
        <w:spacing w:line="312" w:lineRule="auto"/>
        <w:rPr>
          <w:rFonts w:ascii="Calibri" w:hAnsi="Calibri" w:cs="Calibri"/>
          <w:color w:val="auto"/>
          <w:sz w:val="22"/>
          <w:szCs w:val="22"/>
        </w:rPr>
      </w:pPr>
    </w:p>
    <w:p w14:paraId="7B80133D" w14:textId="64E2F534" w:rsidR="00F75D17" w:rsidRDefault="00F75D17">
      <w:pPr>
        <w:spacing w:after="160" w:line="278" w:lineRule="auto"/>
        <w:jc w:val="left"/>
        <w:rPr>
          <w:rFonts w:ascii="Calibri" w:hAnsi="Calibri" w:cs="Calibri"/>
          <w:color w:val="auto"/>
          <w:sz w:val="22"/>
          <w:szCs w:val="22"/>
        </w:rPr>
      </w:pPr>
      <w:r>
        <w:rPr>
          <w:rFonts w:ascii="Calibri" w:hAnsi="Calibri" w:cs="Calibri"/>
          <w:color w:val="auto"/>
          <w:sz w:val="22"/>
          <w:szCs w:val="22"/>
        </w:rPr>
        <w:br w:type="page"/>
      </w:r>
    </w:p>
    <w:p w14:paraId="7B6EFB66" w14:textId="77777777" w:rsidR="00DF6F7F" w:rsidRPr="00F75D17" w:rsidRDefault="00DF6F7F" w:rsidP="000D7408">
      <w:pPr>
        <w:autoSpaceDE w:val="0"/>
        <w:autoSpaceDN w:val="0"/>
        <w:adjustRightInd w:val="0"/>
        <w:spacing w:line="312" w:lineRule="auto"/>
        <w:rPr>
          <w:rFonts w:ascii="Calibri" w:hAnsi="Calibri" w:cs="Calibri"/>
          <w:b/>
          <w:bCs/>
          <w:color w:val="auto"/>
          <w:sz w:val="22"/>
          <w:szCs w:val="22"/>
        </w:rPr>
      </w:pPr>
      <w:r w:rsidRPr="00F75D17">
        <w:rPr>
          <w:rFonts w:ascii="Calibri" w:hAnsi="Calibri" w:cs="Calibri"/>
          <w:b/>
          <w:bCs/>
          <w:color w:val="auto"/>
          <w:sz w:val="22"/>
          <w:szCs w:val="22"/>
        </w:rPr>
        <w:lastRenderedPageBreak/>
        <w:t>Exchange Traded Funds</w:t>
      </w:r>
    </w:p>
    <w:p w14:paraId="463AC700" w14:textId="77777777" w:rsidR="00DF6F7F" w:rsidRPr="00F75D17" w:rsidRDefault="00DF6F7F" w:rsidP="000D7408">
      <w:pPr>
        <w:rPr>
          <w:rFonts w:ascii="Calibri" w:hAnsi="Calibri" w:cs="Calibri"/>
          <w:color w:val="auto"/>
          <w:sz w:val="22"/>
          <w:szCs w:val="22"/>
        </w:rPr>
      </w:pPr>
    </w:p>
    <w:tbl>
      <w:tblPr>
        <w:tblStyle w:val="TableGrid"/>
        <w:tblW w:w="9918" w:type="dxa"/>
        <w:tblLook w:val="04A0" w:firstRow="1" w:lastRow="0" w:firstColumn="1" w:lastColumn="0" w:noHBand="0" w:noVBand="1"/>
      </w:tblPr>
      <w:tblGrid>
        <w:gridCol w:w="642"/>
        <w:gridCol w:w="9276"/>
      </w:tblGrid>
      <w:tr w:rsidR="00BA1888" w:rsidRPr="00F75D17" w14:paraId="28AD80D1" w14:textId="77777777" w:rsidTr="00BA1888">
        <w:tc>
          <w:tcPr>
            <w:tcW w:w="642" w:type="dxa"/>
            <w:shd w:val="clear" w:color="auto" w:fill="92D050"/>
          </w:tcPr>
          <w:p w14:paraId="57F114F4" w14:textId="77777777" w:rsidR="00BA1888" w:rsidRPr="00F75D17" w:rsidRDefault="00BA1888" w:rsidP="000D7408">
            <w:pPr>
              <w:spacing w:line="312" w:lineRule="auto"/>
              <w:rPr>
                <w:rFonts w:ascii="Calibri" w:hAnsi="Calibri" w:cs="Calibri"/>
                <w:color w:val="auto"/>
                <w:sz w:val="22"/>
              </w:rPr>
            </w:pPr>
          </w:p>
        </w:tc>
        <w:tc>
          <w:tcPr>
            <w:tcW w:w="9276" w:type="dxa"/>
            <w:shd w:val="clear" w:color="auto" w:fill="92D050"/>
          </w:tcPr>
          <w:p w14:paraId="56BDB931" w14:textId="659228EC" w:rsidR="00BA1888" w:rsidRPr="00F75D17" w:rsidRDefault="00BA1888" w:rsidP="000D7408">
            <w:pPr>
              <w:spacing w:line="312" w:lineRule="auto"/>
              <w:rPr>
                <w:rFonts w:ascii="Calibri" w:hAnsi="Calibri" w:cs="Calibri"/>
                <w:b/>
                <w:bCs/>
                <w:color w:val="auto"/>
                <w:sz w:val="22"/>
              </w:rPr>
            </w:pPr>
          </w:p>
        </w:tc>
      </w:tr>
      <w:tr w:rsidR="00BA1888" w:rsidRPr="00F75D17" w14:paraId="753AA87F" w14:textId="77777777" w:rsidTr="00BA1888">
        <w:tc>
          <w:tcPr>
            <w:tcW w:w="642" w:type="dxa"/>
            <w:shd w:val="clear" w:color="auto" w:fill="92D050"/>
          </w:tcPr>
          <w:p w14:paraId="23338900" w14:textId="77777777" w:rsidR="00BA1888" w:rsidRPr="00F75D17" w:rsidRDefault="00BA1888" w:rsidP="000D7408">
            <w:pPr>
              <w:spacing w:line="312" w:lineRule="auto"/>
              <w:rPr>
                <w:rFonts w:ascii="Calibri" w:hAnsi="Calibri" w:cs="Calibri"/>
                <w:color w:val="auto"/>
                <w:sz w:val="22"/>
              </w:rPr>
            </w:pPr>
            <w:r w:rsidRPr="00F75D17">
              <w:rPr>
                <w:rFonts w:ascii="Calibri" w:hAnsi="Calibri" w:cs="Calibri"/>
                <w:color w:val="auto"/>
                <w:sz w:val="22"/>
              </w:rPr>
              <w:t>1</w:t>
            </w:r>
          </w:p>
        </w:tc>
        <w:tc>
          <w:tcPr>
            <w:tcW w:w="9276" w:type="dxa"/>
          </w:tcPr>
          <w:p w14:paraId="2426B92F" w14:textId="1A9AFD98" w:rsidR="007B0F2F" w:rsidRPr="003851C0" w:rsidRDefault="007B0F2F" w:rsidP="003851C0">
            <w:pPr>
              <w:autoSpaceDE w:val="0"/>
              <w:autoSpaceDN w:val="0"/>
              <w:adjustRightInd w:val="0"/>
              <w:spacing w:line="312" w:lineRule="auto"/>
              <w:rPr>
                <w:rFonts w:ascii="Calibri" w:hAnsi="Calibri" w:cs="Calibri"/>
                <w:b/>
                <w:bCs/>
                <w:sz w:val="22"/>
              </w:rPr>
            </w:pPr>
            <w:r w:rsidRPr="003851C0">
              <w:rPr>
                <w:rFonts w:ascii="Calibri" w:hAnsi="Calibri" w:cs="Calibri"/>
                <w:b/>
                <w:bCs/>
                <w:sz w:val="22"/>
              </w:rPr>
              <w:t>Creation and redemption announcements for exchange traded funds</w:t>
            </w:r>
          </w:p>
          <w:p w14:paraId="0E73E40A" w14:textId="77777777" w:rsidR="000D7408" w:rsidRPr="007B0F2F" w:rsidRDefault="000D7408" w:rsidP="000D7408">
            <w:pPr>
              <w:rPr>
                <w:rFonts w:ascii="Calibri" w:hAnsi="Calibri" w:cs="Calibri"/>
                <w:b/>
                <w:bCs/>
                <w:color w:val="auto"/>
                <w:sz w:val="22"/>
              </w:rPr>
            </w:pPr>
          </w:p>
          <w:p w14:paraId="5E89D943" w14:textId="77777777" w:rsidR="00F75D17" w:rsidRPr="007B0F2F" w:rsidRDefault="00F75D17" w:rsidP="00F75D17">
            <w:pPr>
              <w:pStyle w:val="ListParagraph"/>
              <w:numPr>
                <w:ilvl w:val="0"/>
                <w:numId w:val="6"/>
              </w:numPr>
              <w:spacing w:after="0" w:line="240" w:lineRule="auto"/>
              <w:contextualSpacing w:val="0"/>
              <w:jc w:val="both"/>
              <w:rPr>
                <w:rFonts w:ascii="Calibri" w:hAnsi="Calibri" w:cs="Calibri"/>
                <w:sz w:val="22"/>
              </w:rPr>
            </w:pPr>
            <w:r w:rsidRPr="007B0F2F">
              <w:rPr>
                <w:rFonts w:ascii="Calibri" w:hAnsi="Calibri" w:cs="Calibri"/>
                <w:sz w:val="22"/>
              </w:rPr>
              <w:t>The JSE is proposing that the creation and redemption announcements are removed from the DSS Requirements on the basis that this information is known by the investor involved in the creation or redemption and the announcement itself may not add value to existing investors. In addition, it would align with the requirements for actively managed exchanged traded funds (</w:t>
            </w:r>
            <w:r w:rsidRPr="007B0F2F">
              <w:rPr>
                <w:rFonts w:ascii="Calibri" w:hAnsi="Calibri" w:cs="Calibri"/>
                <w:b/>
                <w:bCs/>
                <w:sz w:val="22"/>
              </w:rPr>
              <w:t>AMETF</w:t>
            </w:r>
            <w:r w:rsidRPr="007B0F2F">
              <w:rPr>
                <w:rFonts w:ascii="Calibri" w:hAnsi="Calibri" w:cs="Calibri"/>
                <w:sz w:val="22"/>
              </w:rPr>
              <w:t>), which only requires notification to the JSE for creations and redemptions.</w:t>
            </w:r>
          </w:p>
          <w:p w14:paraId="63F87ABB" w14:textId="77777777" w:rsidR="00F75D17" w:rsidRPr="007B0F2F" w:rsidRDefault="00F75D17" w:rsidP="00F75D17">
            <w:pPr>
              <w:pStyle w:val="ListParagraph"/>
              <w:spacing w:after="0" w:line="240" w:lineRule="auto"/>
              <w:contextualSpacing w:val="0"/>
              <w:jc w:val="both"/>
              <w:rPr>
                <w:rFonts w:ascii="Calibri" w:hAnsi="Calibri" w:cs="Calibri"/>
                <w:sz w:val="22"/>
              </w:rPr>
            </w:pPr>
          </w:p>
          <w:p w14:paraId="6960D008" w14:textId="77777777" w:rsidR="00F75D17" w:rsidRPr="007B0F2F" w:rsidRDefault="00F75D17" w:rsidP="00F75D17">
            <w:pPr>
              <w:pStyle w:val="ListParagraph"/>
              <w:numPr>
                <w:ilvl w:val="0"/>
                <w:numId w:val="6"/>
              </w:numPr>
              <w:spacing w:after="0" w:line="240" w:lineRule="auto"/>
              <w:contextualSpacing w:val="0"/>
              <w:jc w:val="both"/>
              <w:rPr>
                <w:rFonts w:ascii="Calibri" w:hAnsi="Calibri" w:cs="Calibri"/>
                <w:sz w:val="22"/>
              </w:rPr>
            </w:pPr>
            <w:r w:rsidRPr="007B0F2F">
              <w:rPr>
                <w:rFonts w:ascii="Calibri" w:hAnsi="Calibri" w:cs="Calibri"/>
                <w:sz w:val="22"/>
              </w:rPr>
              <w:t xml:space="preserve">Does the market have any concerns with the removal of these announcements?  </w:t>
            </w:r>
          </w:p>
          <w:p w14:paraId="3AD2307F" w14:textId="77777777" w:rsidR="00BA1888" w:rsidRPr="007B0F2F" w:rsidRDefault="00BA1888" w:rsidP="000D7408">
            <w:pPr>
              <w:rPr>
                <w:rFonts w:ascii="Calibri" w:hAnsi="Calibri" w:cs="Calibri"/>
                <w:color w:val="auto"/>
                <w:sz w:val="22"/>
              </w:rPr>
            </w:pPr>
          </w:p>
          <w:p w14:paraId="14A075F8" w14:textId="77777777" w:rsidR="00BA1888" w:rsidRPr="007B0F2F" w:rsidRDefault="00BA1888" w:rsidP="000D7408">
            <w:pPr>
              <w:rPr>
                <w:rFonts w:ascii="Calibri" w:hAnsi="Calibri" w:cs="Calibri"/>
                <w:color w:val="auto"/>
                <w:sz w:val="22"/>
              </w:rPr>
            </w:pPr>
          </w:p>
          <w:p w14:paraId="6EA5C6B7" w14:textId="77777777" w:rsidR="00804A00" w:rsidRPr="007B0F2F" w:rsidRDefault="00804A00" w:rsidP="000D7408">
            <w:pPr>
              <w:rPr>
                <w:rFonts w:ascii="Calibri" w:hAnsi="Calibri" w:cs="Calibri"/>
                <w:color w:val="auto"/>
                <w:sz w:val="22"/>
              </w:rPr>
            </w:pPr>
          </w:p>
        </w:tc>
      </w:tr>
    </w:tbl>
    <w:p w14:paraId="18D35C92" w14:textId="77777777" w:rsidR="00CF45EE" w:rsidRPr="00F75D17" w:rsidRDefault="00CF45EE" w:rsidP="000D7408">
      <w:pPr>
        <w:rPr>
          <w:rFonts w:ascii="Calibri" w:hAnsi="Calibri" w:cs="Calibri"/>
          <w:sz w:val="22"/>
          <w:szCs w:val="22"/>
        </w:rPr>
      </w:pPr>
    </w:p>
    <w:p w14:paraId="6EBD06E7" w14:textId="77777777" w:rsidR="009554DA" w:rsidRPr="00F75D17" w:rsidRDefault="009554DA" w:rsidP="000D7408">
      <w:pPr>
        <w:rPr>
          <w:rFonts w:ascii="Calibri" w:hAnsi="Calibri" w:cs="Calibri"/>
          <w:sz w:val="22"/>
          <w:szCs w:val="22"/>
        </w:rPr>
      </w:pPr>
    </w:p>
    <w:p w14:paraId="4100F39A" w14:textId="77777777" w:rsidR="009554DA" w:rsidRPr="00F75D17" w:rsidRDefault="009554DA" w:rsidP="00F75D17">
      <w:pPr>
        <w:ind w:left="360"/>
        <w:jc w:val="center"/>
        <w:rPr>
          <w:rFonts w:ascii="Calibri" w:eastAsia="Aptos" w:hAnsi="Calibri" w:cs="Calibri"/>
          <w:b/>
          <w:bCs/>
          <w:color w:val="auto"/>
          <w:kern w:val="2"/>
          <w:sz w:val="22"/>
          <w:szCs w:val="22"/>
          <w14:ligatures w14:val="standardContextual"/>
        </w:rPr>
      </w:pPr>
      <w:r w:rsidRPr="00F75D17">
        <w:rPr>
          <w:rFonts w:ascii="Calibri" w:hAnsi="Calibri" w:cs="Calibri"/>
          <w:b/>
          <w:bCs/>
          <w:color w:val="auto"/>
          <w:sz w:val="22"/>
          <w:szCs w:val="22"/>
        </w:rPr>
        <w:t>~END~</w:t>
      </w:r>
    </w:p>
    <w:p w14:paraId="0231867C" w14:textId="77777777" w:rsidR="009554DA" w:rsidRPr="00F75D17" w:rsidRDefault="009554DA" w:rsidP="000D7408">
      <w:pPr>
        <w:rPr>
          <w:rFonts w:ascii="Calibri" w:hAnsi="Calibri" w:cs="Calibri"/>
          <w:sz w:val="22"/>
          <w:szCs w:val="22"/>
        </w:rPr>
      </w:pPr>
    </w:p>
    <w:sectPr w:rsidR="009554DA" w:rsidRPr="00F75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C2E"/>
    <w:multiLevelType w:val="hybridMultilevel"/>
    <w:tmpl w:val="96DE65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4B1A03"/>
    <w:multiLevelType w:val="hybridMultilevel"/>
    <w:tmpl w:val="74DA65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5E3D43"/>
    <w:multiLevelType w:val="hybridMultilevel"/>
    <w:tmpl w:val="B2529E9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53CED"/>
    <w:multiLevelType w:val="hybridMultilevel"/>
    <w:tmpl w:val="96DE65A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B36C35"/>
    <w:multiLevelType w:val="hybridMultilevel"/>
    <w:tmpl w:val="E46CB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59C59C0"/>
    <w:multiLevelType w:val="hybridMultilevel"/>
    <w:tmpl w:val="96DE65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525D63"/>
    <w:multiLevelType w:val="hybridMultilevel"/>
    <w:tmpl w:val="74DA65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EA02E0D"/>
    <w:multiLevelType w:val="hybridMultilevel"/>
    <w:tmpl w:val="B2AC0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95758170">
    <w:abstractNumId w:val="4"/>
  </w:num>
  <w:num w:numId="2" w16cid:durableId="1599288966">
    <w:abstractNumId w:val="7"/>
  </w:num>
  <w:num w:numId="3" w16cid:durableId="161822563">
    <w:abstractNumId w:val="3"/>
  </w:num>
  <w:num w:numId="4" w16cid:durableId="1967419790">
    <w:abstractNumId w:val="5"/>
  </w:num>
  <w:num w:numId="5" w16cid:durableId="42410174">
    <w:abstractNumId w:val="2"/>
  </w:num>
  <w:num w:numId="6" w16cid:durableId="2140486888">
    <w:abstractNumId w:val="0"/>
  </w:num>
  <w:num w:numId="7" w16cid:durableId="253130396">
    <w:abstractNumId w:val="1"/>
  </w:num>
  <w:num w:numId="8" w16cid:durableId="177231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7F"/>
    <w:rsid w:val="000D7408"/>
    <w:rsid w:val="001A325B"/>
    <w:rsid w:val="001B7CA7"/>
    <w:rsid w:val="00214AED"/>
    <w:rsid w:val="00361D19"/>
    <w:rsid w:val="003851C0"/>
    <w:rsid w:val="0065480A"/>
    <w:rsid w:val="00696CAF"/>
    <w:rsid w:val="006F204F"/>
    <w:rsid w:val="00754126"/>
    <w:rsid w:val="007B0F2F"/>
    <w:rsid w:val="007E2A93"/>
    <w:rsid w:val="007E465B"/>
    <w:rsid w:val="007F4036"/>
    <w:rsid w:val="00804A00"/>
    <w:rsid w:val="008409AB"/>
    <w:rsid w:val="00850469"/>
    <w:rsid w:val="008D279B"/>
    <w:rsid w:val="008D7736"/>
    <w:rsid w:val="009554DA"/>
    <w:rsid w:val="00A54216"/>
    <w:rsid w:val="00AB0AAA"/>
    <w:rsid w:val="00AC2F10"/>
    <w:rsid w:val="00B505BE"/>
    <w:rsid w:val="00B92662"/>
    <w:rsid w:val="00BA1888"/>
    <w:rsid w:val="00C13098"/>
    <w:rsid w:val="00CC3140"/>
    <w:rsid w:val="00CF45EE"/>
    <w:rsid w:val="00D53D06"/>
    <w:rsid w:val="00DD24C5"/>
    <w:rsid w:val="00DF6F7F"/>
    <w:rsid w:val="00E13731"/>
    <w:rsid w:val="00ED6409"/>
    <w:rsid w:val="00F344A7"/>
    <w:rsid w:val="00F65074"/>
    <w:rsid w:val="00F75D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D9F1"/>
  <w15:chartTrackingRefBased/>
  <w15:docId w15:val="{15AB5F7F-954D-48EE-A368-96CA9A3B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7F"/>
    <w:pPr>
      <w:spacing w:after="0" w:line="288" w:lineRule="auto"/>
      <w:jc w:val="both"/>
    </w:pPr>
    <w:rPr>
      <w:rFonts w:eastAsiaTheme="minorEastAsia"/>
      <w:color w:val="262626" w:themeColor="text1" w:themeTint="D9"/>
      <w:kern w:val="0"/>
      <w:sz w:val="20"/>
      <w:lang w:val="en-US"/>
      <w14:ligatures w14:val="none"/>
    </w:rPr>
  </w:style>
  <w:style w:type="paragraph" w:styleId="Heading1">
    <w:name w:val="heading 1"/>
    <w:basedOn w:val="Normal"/>
    <w:next w:val="Normal"/>
    <w:link w:val="Heading1Char"/>
    <w:uiPriority w:val="9"/>
    <w:qFormat/>
    <w:rsid w:val="00DF6F7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DF6F7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DF6F7F"/>
    <w:pPr>
      <w:keepNext/>
      <w:keepLines/>
      <w:spacing w:before="160" w:after="80" w:line="278" w:lineRule="auto"/>
      <w:jc w:val="left"/>
      <w:outlineLvl w:val="2"/>
    </w:pPr>
    <w:rPr>
      <w:rFonts w:eastAsiaTheme="majorEastAsia"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DF6F7F"/>
    <w:pPr>
      <w:keepNext/>
      <w:keepLines/>
      <w:spacing w:before="80" w:after="40" w:line="278" w:lineRule="auto"/>
      <w:jc w:val="left"/>
      <w:outlineLvl w:val="3"/>
    </w:pPr>
    <w:rPr>
      <w:rFonts w:eastAsiaTheme="majorEastAsia" w:cstheme="majorBidi"/>
      <w:i/>
      <w:iCs/>
      <w:color w:val="0F4761" w:themeColor="accent1" w:themeShade="BF"/>
      <w:kern w:val="2"/>
      <w:sz w:val="24"/>
      <w:lang w:val="en-ZA"/>
      <w14:ligatures w14:val="standardContextual"/>
    </w:rPr>
  </w:style>
  <w:style w:type="paragraph" w:styleId="Heading5">
    <w:name w:val="heading 5"/>
    <w:basedOn w:val="Normal"/>
    <w:next w:val="Normal"/>
    <w:link w:val="Heading5Char"/>
    <w:uiPriority w:val="9"/>
    <w:semiHidden/>
    <w:unhideWhenUsed/>
    <w:qFormat/>
    <w:rsid w:val="00DF6F7F"/>
    <w:pPr>
      <w:keepNext/>
      <w:keepLines/>
      <w:spacing w:before="80" w:after="40" w:line="278" w:lineRule="auto"/>
      <w:jc w:val="left"/>
      <w:outlineLvl w:val="4"/>
    </w:pPr>
    <w:rPr>
      <w:rFonts w:eastAsiaTheme="majorEastAsia" w:cstheme="majorBidi"/>
      <w:color w:val="0F4761" w:themeColor="accent1" w:themeShade="BF"/>
      <w:kern w:val="2"/>
      <w:sz w:val="24"/>
      <w:lang w:val="en-ZA"/>
      <w14:ligatures w14:val="standardContextual"/>
    </w:rPr>
  </w:style>
  <w:style w:type="paragraph" w:styleId="Heading6">
    <w:name w:val="heading 6"/>
    <w:basedOn w:val="Normal"/>
    <w:next w:val="Normal"/>
    <w:link w:val="Heading6Char"/>
    <w:uiPriority w:val="9"/>
    <w:semiHidden/>
    <w:unhideWhenUsed/>
    <w:qFormat/>
    <w:rsid w:val="00DF6F7F"/>
    <w:pPr>
      <w:keepNext/>
      <w:keepLines/>
      <w:spacing w:before="40" w:line="278" w:lineRule="auto"/>
      <w:jc w:val="left"/>
      <w:outlineLvl w:val="5"/>
    </w:pPr>
    <w:rPr>
      <w:rFonts w:eastAsiaTheme="majorEastAsia" w:cstheme="majorBidi"/>
      <w:i/>
      <w:iCs/>
      <w:color w:val="595959" w:themeColor="text1" w:themeTint="A6"/>
      <w:kern w:val="2"/>
      <w:sz w:val="24"/>
      <w:lang w:val="en-ZA"/>
      <w14:ligatures w14:val="standardContextual"/>
    </w:rPr>
  </w:style>
  <w:style w:type="paragraph" w:styleId="Heading7">
    <w:name w:val="heading 7"/>
    <w:basedOn w:val="Normal"/>
    <w:next w:val="Normal"/>
    <w:link w:val="Heading7Char"/>
    <w:uiPriority w:val="9"/>
    <w:semiHidden/>
    <w:unhideWhenUsed/>
    <w:qFormat/>
    <w:rsid w:val="00DF6F7F"/>
    <w:pPr>
      <w:keepNext/>
      <w:keepLines/>
      <w:spacing w:before="40" w:line="278" w:lineRule="auto"/>
      <w:jc w:val="left"/>
      <w:outlineLvl w:val="6"/>
    </w:pPr>
    <w:rPr>
      <w:rFonts w:eastAsiaTheme="majorEastAsia" w:cstheme="majorBidi"/>
      <w:color w:val="595959" w:themeColor="text1" w:themeTint="A6"/>
      <w:kern w:val="2"/>
      <w:sz w:val="24"/>
      <w:lang w:val="en-ZA"/>
      <w14:ligatures w14:val="standardContextual"/>
    </w:rPr>
  </w:style>
  <w:style w:type="paragraph" w:styleId="Heading8">
    <w:name w:val="heading 8"/>
    <w:basedOn w:val="Normal"/>
    <w:next w:val="Normal"/>
    <w:link w:val="Heading8Char"/>
    <w:uiPriority w:val="9"/>
    <w:semiHidden/>
    <w:unhideWhenUsed/>
    <w:qFormat/>
    <w:rsid w:val="00DF6F7F"/>
    <w:pPr>
      <w:keepNext/>
      <w:keepLines/>
      <w:spacing w:line="278" w:lineRule="auto"/>
      <w:jc w:val="left"/>
      <w:outlineLvl w:val="7"/>
    </w:pPr>
    <w:rPr>
      <w:rFonts w:eastAsiaTheme="majorEastAsia" w:cstheme="majorBidi"/>
      <w:i/>
      <w:iCs/>
      <w:color w:val="272727" w:themeColor="text1" w:themeTint="D8"/>
      <w:kern w:val="2"/>
      <w:sz w:val="24"/>
      <w:lang w:val="en-ZA"/>
      <w14:ligatures w14:val="standardContextual"/>
    </w:rPr>
  </w:style>
  <w:style w:type="paragraph" w:styleId="Heading9">
    <w:name w:val="heading 9"/>
    <w:basedOn w:val="Normal"/>
    <w:next w:val="Normal"/>
    <w:link w:val="Heading9Char"/>
    <w:uiPriority w:val="9"/>
    <w:semiHidden/>
    <w:unhideWhenUsed/>
    <w:qFormat/>
    <w:rsid w:val="00DF6F7F"/>
    <w:pPr>
      <w:keepNext/>
      <w:keepLines/>
      <w:spacing w:line="278" w:lineRule="auto"/>
      <w:jc w:val="left"/>
      <w:outlineLvl w:val="8"/>
    </w:pPr>
    <w:rPr>
      <w:rFonts w:eastAsiaTheme="majorEastAsia" w:cstheme="majorBidi"/>
      <w:color w:val="272727" w:themeColor="text1" w:themeTint="D8"/>
      <w:kern w:val="2"/>
      <w:sz w:val="24"/>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7F"/>
    <w:rPr>
      <w:rFonts w:eastAsiaTheme="majorEastAsia" w:cstheme="majorBidi"/>
      <w:color w:val="272727" w:themeColor="text1" w:themeTint="D8"/>
    </w:rPr>
  </w:style>
  <w:style w:type="paragraph" w:styleId="Title">
    <w:name w:val="Title"/>
    <w:basedOn w:val="Normal"/>
    <w:next w:val="Normal"/>
    <w:link w:val="TitleChar"/>
    <w:uiPriority w:val="10"/>
    <w:qFormat/>
    <w:rsid w:val="00DF6F7F"/>
    <w:pPr>
      <w:spacing w:after="80" w:line="240" w:lineRule="auto"/>
      <w:contextualSpacing/>
      <w:jc w:val="left"/>
    </w:pPr>
    <w:rPr>
      <w:rFonts w:asciiTheme="majorHAnsi" w:eastAsiaTheme="majorEastAsia" w:hAnsiTheme="majorHAnsi" w:cstheme="majorBidi"/>
      <w:color w:val="auto"/>
      <w:spacing w:val="-10"/>
      <w:kern w:val="28"/>
      <w:sz w:val="56"/>
      <w:szCs w:val="56"/>
      <w:lang w:val="en-ZA"/>
      <w14:ligatures w14:val="standardContextual"/>
    </w:rPr>
  </w:style>
  <w:style w:type="character" w:customStyle="1" w:styleId="TitleChar">
    <w:name w:val="Title Char"/>
    <w:basedOn w:val="DefaultParagraphFont"/>
    <w:link w:val="Title"/>
    <w:uiPriority w:val="10"/>
    <w:rsid w:val="00DF6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7F"/>
    <w:pPr>
      <w:numPr>
        <w:ilvl w:val="1"/>
      </w:numPr>
      <w:spacing w:after="160" w:line="278" w:lineRule="auto"/>
      <w:jc w:val="left"/>
    </w:pPr>
    <w:rPr>
      <w:rFonts w:eastAsiaTheme="majorEastAsia"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DF6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7F"/>
    <w:pPr>
      <w:spacing w:before="160" w:after="160" w:line="278" w:lineRule="auto"/>
      <w:jc w:val="center"/>
    </w:pPr>
    <w:rPr>
      <w:rFonts w:eastAsiaTheme="minorHAnsi"/>
      <w:i/>
      <w:iCs/>
      <w:color w:val="404040" w:themeColor="text1" w:themeTint="BF"/>
      <w:kern w:val="2"/>
      <w:sz w:val="24"/>
      <w:lang w:val="en-ZA"/>
      <w14:ligatures w14:val="standardContextual"/>
    </w:rPr>
  </w:style>
  <w:style w:type="character" w:customStyle="1" w:styleId="QuoteChar">
    <w:name w:val="Quote Char"/>
    <w:basedOn w:val="DefaultParagraphFont"/>
    <w:link w:val="Quote"/>
    <w:uiPriority w:val="29"/>
    <w:rsid w:val="00DF6F7F"/>
    <w:rPr>
      <w:i/>
      <w:iCs/>
      <w:color w:val="404040" w:themeColor="text1" w:themeTint="BF"/>
    </w:rPr>
  </w:style>
  <w:style w:type="paragraph" w:styleId="ListParagraph">
    <w:name w:val="List Paragraph"/>
    <w:basedOn w:val="Normal"/>
    <w:link w:val="ListParagraphChar"/>
    <w:uiPriority w:val="34"/>
    <w:qFormat/>
    <w:rsid w:val="00DF6F7F"/>
    <w:pPr>
      <w:spacing w:after="160" w:line="278" w:lineRule="auto"/>
      <w:ind w:left="720"/>
      <w:contextualSpacing/>
      <w:jc w:val="left"/>
    </w:pPr>
    <w:rPr>
      <w:rFonts w:eastAsiaTheme="minorHAnsi"/>
      <w:color w:val="auto"/>
      <w:kern w:val="2"/>
      <w:sz w:val="24"/>
      <w:lang w:val="en-ZA"/>
      <w14:ligatures w14:val="standardContextual"/>
    </w:rPr>
  </w:style>
  <w:style w:type="character" w:styleId="IntenseEmphasis">
    <w:name w:val="Intense Emphasis"/>
    <w:basedOn w:val="DefaultParagraphFont"/>
    <w:uiPriority w:val="21"/>
    <w:qFormat/>
    <w:rsid w:val="00DF6F7F"/>
    <w:rPr>
      <w:i/>
      <w:iCs/>
      <w:color w:val="0F4761" w:themeColor="accent1" w:themeShade="BF"/>
    </w:rPr>
  </w:style>
  <w:style w:type="paragraph" w:styleId="IntenseQuote">
    <w:name w:val="Intense Quote"/>
    <w:basedOn w:val="Normal"/>
    <w:next w:val="Normal"/>
    <w:link w:val="IntenseQuoteChar"/>
    <w:uiPriority w:val="30"/>
    <w:qFormat/>
    <w:rsid w:val="00DF6F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lang w:val="en-ZA"/>
      <w14:ligatures w14:val="standardContextual"/>
    </w:rPr>
  </w:style>
  <w:style w:type="character" w:customStyle="1" w:styleId="IntenseQuoteChar">
    <w:name w:val="Intense Quote Char"/>
    <w:basedOn w:val="DefaultParagraphFont"/>
    <w:link w:val="IntenseQuote"/>
    <w:uiPriority w:val="30"/>
    <w:rsid w:val="00DF6F7F"/>
    <w:rPr>
      <w:i/>
      <w:iCs/>
      <w:color w:val="0F4761" w:themeColor="accent1" w:themeShade="BF"/>
    </w:rPr>
  </w:style>
  <w:style w:type="character" w:styleId="IntenseReference">
    <w:name w:val="Intense Reference"/>
    <w:basedOn w:val="DefaultParagraphFont"/>
    <w:uiPriority w:val="32"/>
    <w:qFormat/>
    <w:rsid w:val="00DF6F7F"/>
    <w:rPr>
      <w:b/>
      <w:bCs/>
      <w:smallCaps/>
      <w:color w:val="0F4761" w:themeColor="accent1" w:themeShade="BF"/>
      <w:spacing w:val="5"/>
    </w:rPr>
  </w:style>
  <w:style w:type="table" w:styleId="TableGrid">
    <w:name w:val="Table Grid"/>
    <w:basedOn w:val="TableNormal"/>
    <w:uiPriority w:val="39"/>
    <w:rsid w:val="00DF6F7F"/>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F7F"/>
    <w:rPr>
      <w:color w:val="467886" w:themeColor="hyperlink"/>
      <w:u w:val="single"/>
    </w:rPr>
  </w:style>
  <w:style w:type="paragraph" w:styleId="CommentText">
    <w:name w:val="annotation text"/>
    <w:basedOn w:val="Normal"/>
    <w:link w:val="CommentTextChar"/>
    <w:uiPriority w:val="99"/>
    <w:unhideWhenUsed/>
    <w:rsid w:val="00DF6F7F"/>
    <w:pPr>
      <w:spacing w:line="240" w:lineRule="auto"/>
    </w:pPr>
    <w:rPr>
      <w:szCs w:val="20"/>
    </w:rPr>
  </w:style>
  <w:style w:type="character" w:customStyle="1" w:styleId="CommentTextChar">
    <w:name w:val="Comment Text Char"/>
    <w:basedOn w:val="DefaultParagraphFont"/>
    <w:link w:val="CommentText"/>
    <w:uiPriority w:val="99"/>
    <w:rsid w:val="00DF6F7F"/>
    <w:rPr>
      <w:rFonts w:eastAsiaTheme="minorEastAsia"/>
      <w:color w:val="262626" w:themeColor="text1" w:themeTint="D9"/>
      <w:kern w:val="0"/>
      <w:sz w:val="20"/>
      <w:szCs w:val="20"/>
      <w:lang w:val="en-US"/>
      <w14:ligatures w14:val="none"/>
    </w:rPr>
  </w:style>
  <w:style w:type="character" w:customStyle="1" w:styleId="ListParagraphChar">
    <w:name w:val="List Paragraph Char"/>
    <w:link w:val="ListParagraph"/>
    <w:uiPriority w:val="34"/>
    <w:locked/>
    <w:rsid w:val="00BA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538</Words>
  <Characters>3059</Characters>
  <Application>Microsoft Office Word</Application>
  <DocSecurity>0</DocSecurity>
  <Lines>145</Lines>
  <Paragraphs>58</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32</cp:revision>
  <dcterms:created xsi:type="dcterms:W3CDTF">2025-11-04T06:42:00Z</dcterms:created>
  <dcterms:modified xsi:type="dcterms:W3CDTF">2025-11-04T07:17:00Z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2025-11-04T06:43:31Z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a873ee23-db8a-4f3f-a2a2-418a556ec399</vt:lpwstr>
  </property>
  <property fmtid="{D5CDD505-2E9C-101B-9397-08002B2CF9AE}" pid="8" name="MSIP_Label_ce93fc94-2a04-4870-acee-9c0cd4b7d590_ContentBits">
    <vt:lpwstr>0</vt:lpwstr>
  </property>
  <property fmtid="{D5CDD505-2E9C-101B-9397-08002B2CF9AE}" pid="9" name="MSIP_Label_ce93fc94-2a04-4870-acee-9c0cd4b7d590_Tag">
    <vt:lpwstr>10, 3, 0, 1</vt:lpwstr>
  </property>
</Properties>
</file>