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5" w:type="dxa"/>
        <w:tblLook w:val="04A0" w:firstRow="1" w:lastRow="0" w:firstColumn="1" w:lastColumn="0" w:noHBand="0" w:noVBand="1"/>
      </w:tblPr>
      <w:tblGrid>
        <w:gridCol w:w="9214"/>
      </w:tblGrid>
      <w:tr w:rsidR="003B3004" w:rsidRPr="00114D2F" w14:paraId="35649487" w14:textId="77777777" w:rsidTr="009027BA">
        <w:tc>
          <w:tcPr>
            <w:tcW w:w="9214" w:type="dxa"/>
            <w:shd w:val="clear" w:color="auto" w:fill="92D050"/>
          </w:tcPr>
          <w:p w14:paraId="6CFC0738" w14:textId="77777777" w:rsidR="003B3004" w:rsidRDefault="003B3004" w:rsidP="00A26683">
            <w:pPr>
              <w:rPr>
                <w:rFonts w:ascii="Calibri" w:hAnsi="Calibri" w:cs="Calibri"/>
                <w:b/>
                <w:bCs/>
                <w:sz w:val="22"/>
                <w:szCs w:val="22"/>
              </w:rPr>
            </w:pPr>
            <w:r w:rsidRPr="00114D2F">
              <w:rPr>
                <w:rFonts w:ascii="Calibri" w:hAnsi="Calibri" w:cs="Calibri"/>
                <w:b/>
                <w:bCs/>
                <w:sz w:val="22"/>
                <w:szCs w:val="22"/>
              </w:rPr>
              <w:t>Form C</w:t>
            </w:r>
            <w:r w:rsidR="009027BA" w:rsidRPr="00114D2F">
              <w:rPr>
                <w:rFonts w:ascii="Calibri" w:hAnsi="Calibri" w:cs="Calibri"/>
                <w:b/>
                <w:bCs/>
                <w:sz w:val="22"/>
                <w:szCs w:val="22"/>
              </w:rPr>
              <w:t>3</w:t>
            </w:r>
            <w:r w:rsidRPr="00114D2F">
              <w:rPr>
                <w:rFonts w:ascii="Calibri" w:hAnsi="Calibri" w:cs="Calibri"/>
                <w:b/>
                <w:bCs/>
                <w:sz w:val="22"/>
                <w:szCs w:val="22"/>
              </w:rPr>
              <w:t xml:space="preserve">: </w:t>
            </w:r>
            <w:r w:rsidR="009027BA" w:rsidRPr="00114D2F">
              <w:rPr>
                <w:rFonts w:ascii="Calibri" w:hAnsi="Calibri" w:cs="Calibri"/>
                <w:b/>
                <w:bCs/>
                <w:sz w:val="22"/>
                <w:szCs w:val="22"/>
              </w:rPr>
              <w:t xml:space="preserve">General Undertaking </w:t>
            </w:r>
          </w:p>
          <w:p w14:paraId="5BDFD7BF" w14:textId="25EF6667" w:rsidR="007C1975" w:rsidRPr="007C1975" w:rsidRDefault="007C1975" w:rsidP="00A26683">
            <w:pPr>
              <w:rPr>
                <w:rFonts w:ascii="Calibri" w:hAnsi="Calibri" w:cs="Calibri"/>
                <w:b/>
                <w:bCs/>
                <w:i/>
                <w:iCs/>
                <w:sz w:val="22"/>
                <w:szCs w:val="22"/>
              </w:rPr>
            </w:pPr>
            <w:r w:rsidRPr="007C1975">
              <w:rPr>
                <w:rFonts w:ascii="Calibri" w:hAnsi="Calibri" w:cs="Calibri"/>
                <w:b/>
                <w:bCs/>
                <w:i/>
                <w:iCs/>
                <w:sz w:val="22"/>
                <w:szCs w:val="22"/>
              </w:rPr>
              <w:t>Previous Schedule 3</w:t>
            </w:r>
          </w:p>
        </w:tc>
      </w:tr>
    </w:tbl>
    <w:p w14:paraId="111B219D" w14:textId="2986A629" w:rsidR="009746A2" w:rsidRPr="00114D2F" w:rsidRDefault="009746A2" w:rsidP="009746A2">
      <w:pPr>
        <w:pStyle w:val="parafullout"/>
        <w:rPr>
          <w:rFonts w:ascii="Calibri" w:hAnsi="Calibri" w:cs="Calibri"/>
          <w:sz w:val="22"/>
          <w:szCs w:val="22"/>
        </w:rPr>
      </w:pPr>
      <w:r w:rsidRPr="00114D2F">
        <w:rPr>
          <w:rFonts w:ascii="Calibri" w:hAnsi="Calibri" w:cs="Calibri"/>
          <w:sz w:val="22"/>
          <w:szCs w:val="22"/>
        </w:rPr>
        <w:t>The following provisions must be contained in the general undertaking by the applicant issuer, which must be in the form of a resolution of directors certified by the Chairman:</w:t>
      </w:r>
    </w:p>
    <w:p w14:paraId="58E53FE7" w14:textId="32E8A921"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.1</w:t>
      </w:r>
      <w:r w:rsidR="009746A2" w:rsidRPr="00114D2F">
        <w:rPr>
          <w:rFonts w:ascii="Calibri" w:hAnsi="Calibri" w:cs="Calibri"/>
          <w:sz w:val="22"/>
          <w:szCs w:val="22"/>
        </w:rPr>
        <w:tab/>
        <w:t>That the applicant issuer will not apply for the loan, or return, of any document submitted in support of the application for listing and that all such documents will become the property of the JSE.</w:t>
      </w:r>
    </w:p>
    <w:p w14:paraId="6DD15FC6" w14:textId="66686704"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.2</w:t>
      </w:r>
      <w:r w:rsidR="009746A2" w:rsidRPr="00114D2F">
        <w:rPr>
          <w:rFonts w:ascii="Calibri" w:hAnsi="Calibri" w:cs="Calibri"/>
          <w:sz w:val="22"/>
          <w:szCs w:val="22"/>
        </w:rPr>
        <w:tab/>
        <w:t>That the applicant will make no charge in the Republic of South Africa for a transfer of securities or for the splitting of certificates of title.</w:t>
      </w:r>
      <w:r w:rsidR="009746A2" w:rsidRPr="00114D2F">
        <w:rPr>
          <w:rStyle w:val="FootnoteReference"/>
          <w:rFonts w:ascii="Calibri" w:hAnsi="Calibri" w:cs="Calibri"/>
          <w:sz w:val="22"/>
          <w:szCs w:val="22"/>
        </w:rPr>
        <w:footnoteReference w:customMarkFollows="1" w:id="1"/>
        <w:t> </w:t>
      </w:r>
    </w:p>
    <w:p w14:paraId="14542D7D" w14:textId="47EA7D0D"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.3</w:t>
      </w:r>
      <w:r w:rsidR="009746A2" w:rsidRPr="00114D2F">
        <w:rPr>
          <w:rFonts w:ascii="Calibri" w:hAnsi="Calibri" w:cs="Calibri"/>
          <w:sz w:val="22"/>
          <w:szCs w:val="22"/>
        </w:rPr>
        <w:tab/>
        <w:t>That the applicant will make no charge in the Republic of South Africa for the registration of any powers of attorney or letters of administration.</w:t>
      </w:r>
    </w:p>
    <w:p w14:paraId="7C61BFF1" w14:textId="77C882A8"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.4</w:t>
      </w:r>
      <w:r w:rsidR="009746A2" w:rsidRPr="00114D2F">
        <w:rPr>
          <w:rFonts w:ascii="Calibri" w:hAnsi="Calibri" w:cs="Calibri"/>
          <w:sz w:val="22"/>
          <w:szCs w:val="22"/>
        </w:rPr>
        <w:tab/>
        <w:t>That the MOI of the applicant issuer comply with the Listings Requirements that are now or hereafter may be in force.</w:t>
      </w:r>
      <w:r w:rsidR="009746A2" w:rsidRPr="00114D2F">
        <w:rPr>
          <w:rStyle w:val="FootnoteReference"/>
          <w:rFonts w:ascii="Calibri" w:hAnsi="Calibri" w:cs="Calibri"/>
          <w:sz w:val="22"/>
          <w:szCs w:val="22"/>
        </w:rPr>
        <w:footnoteReference w:customMarkFollows="1" w:id="2"/>
        <w:t> </w:t>
      </w:r>
    </w:p>
    <w:p w14:paraId="4D0D6ED8" w14:textId="34E7BC19"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.5</w:t>
      </w:r>
      <w:r w:rsidR="009746A2" w:rsidRPr="00114D2F">
        <w:rPr>
          <w:rFonts w:ascii="Calibri" w:hAnsi="Calibri" w:cs="Calibri"/>
          <w:sz w:val="22"/>
          <w:szCs w:val="22"/>
        </w:rPr>
        <w:tab/>
        <w:t>That the MOI of any subsidiary of the applicant issuer shall not frustrate the applicant issuer in any way from compliance with its obligations in terms of the Listings Requirements and that nothing contained in the MOI of a subsidiary of an applicant issuer shall relieve the applicant issuer from compliance with the Listings Requirements.</w:t>
      </w:r>
      <w:r w:rsidR="009746A2" w:rsidRPr="00114D2F">
        <w:rPr>
          <w:rStyle w:val="FootnoteReference"/>
          <w:rFonts w:ascii="Calibri" w:hAnsi="Calibri" w:cs="Calibri"/>
          <w:sz w:val="22"/>
          <w:szCs w:val="22"/>
        </w:rPr>
        <w:footnoteReference w:customMarkFollows="1" w:id="3"/>
        <w:t> </w:t>
      </w:r>
    </w:p>
    <w:p w14:paraId="17623CB2" w14:textId="4769C73B"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.6</w:t>
      </w:r>
      <w:r w:rsidR="009746A2" w:rsidRPr="00114D2F">
        <w:rPr>
          <w:rFonts w:ascii="Calibri" w:hAnsi="Calibri" w:cs="Calibri"/>
          <w:sz w:val="22"/>
          <w:szCs w:val="22"/>
        </w:rPr>
        <w:tab/>
        <w:t>That the minutes of all shareholders’ meetings, either general or annual general, will be read at the next succeeding meeting of shareholders at the request of any shareholders at the meeting, if the proceedings of such meeting have not been made available.</w:t>
      </w:r>
      <w:r w:rsidR="009746A2" w:rsidRPr="00114D2F">
        <w:rPr>
          <w:rStyle w:val="FootnoteReference"/>
          <w:rFonts w:ascii="Calibri" w:hAnsi="Calibri" w:cs="Calibri"/>
          <w:sz w:val="22"/>
          <w:szCs w:val="22"/>
        </w:rPr>
        <w:footnoteReference w:customMarkFollows="1" w:id="4"/>
        <w:t> </w:t>
      </w:r>
    </w:p>
    <w:p w14:paraId="2EBF458B" w14:textId="4BBE4C0B" w:rsidR="009746A2" w:rsidRPr="00114D2F" w:rsidRDefault="009027BA" w:rsidP="009746A2">
      <w:pPr>
        <w:pStyle w:val="000"/>
        <w:rPr>
          <w:rFonts w:ascii="Calibri" w:hAnsi="Calibri" w:cs="Calibri"/>
          <w:sz w:val="22"/>
          <w:szCs w:val="22"/>
        </w:rPr>
      </w:pPr>
      <w:r w:rsidRPr="00114D2F">
        <w:rPr>
          <w:rFonts w:ascii="Calibri" w:hAnsi="Calibri" w:cs="Calibri"/>
          <w:sz w:val="22"/>
          <w:szCs w:val="22"/>
        </w:rPr>
        <w:t>1</w:t>
      </w:r>
      <w:r w:rsidR="009746A2" w:rsidRPr="00114D2F">
        <w:rPr>
          <w:rFonts w:ascii="Calibri" w:hAnsi="Calibri" w:cs="Calibri"/>
          <w:sz w:val="22"/>
          <w:szCs w:val="22"/>
        </w:rPr>
        <w:t>.7</w:t>
      </w:r>
      <w:r w:rsidR="009746A2" w:rsidRPr="00114D2F">
        <w:rPr>
          <w:rFonts w:ascii="Calibri" w:hAnsi="Calibri" w:cs="Calibri"/>
          <w:sz w:val="22"/>
          <w:szCs w:val="22"/>
        </w:rPr>
        <w:tab/>
        <w:t>That</w:t>
      </w:r>
      <w:r w:rsidR="009746A2" w:rsidRPr="00114D2F">
        <w:rPr>
          <w:rStyle w:val="FootnoteReference"/>
          <w:rFonts w:ascii="Calibri" w:hAnsi="Calibri" w:cs="Calibri"/>
          <w:sz w:val="22"/>
          <w:szCs w:val="22"/>
        </w:rPr>
        <w:footnoteReference w:customMarkFollows="1" w:id="5"/>
        <w:t> </w:t>
      </w:r>
      <w:r w:rsidR="009746A2" w:rsidRPr="00114D2F">
        <w:rPr>
          <w:rFonts w:ascii="Calibri" w:hAnsi="Calibri" w:cs="Calibri"/>
          <w:sz w:val="22"/>
          <w:szCs w:val="22"/>
        </w:rPr>
        <w:t>:</w:t>
      </w:r>
    </w:p>
    <w:p w14:paraId="7ADBA6E8" w14:textId="77777777" w:rsidR="009746A2" w:rsidRPr="00114D2F" w:rsidRDefault="009746A2" w:rsidP="009746A2">
      <w:pPr>
        <w:pStyle w:val="a-000"/>
        <w:rPr>
          <w:rFonts w:ascii="Calibri" w:hAnsi="Calibri" w:cs="Calibri"/>
          <w:sz w:val="22"/>
          <w:szCs w:val="22"/>
        </w:rPr>
      </w:pPr>
      <w:r w:rsidRPr="00114D2F">
        <w:rPr>
          <w:rFonts w:ascii="Calibri" w:hAnsi="Calibri" w:cs="Calibri"/>
          <w:sz w:val="22"/>
          <w:szCs w:val="22"/>
        </w:rPr>
        <w:tab/>
        <w:t>(a)</w:t>
      </w:r>
      <w:r w:rsidRPr="00114D2F">
        <w:rPr>
          <w:rFonts w:ascii="Calibri" w:hAnsi="Calibri" w:cs="Calibri"/>
          <w:sz w:val="22"/>
          <w:szCs w:val="22"/>
        </w:rPr>
        <w:tab/>
        <w:t>all the said securities, or in the case of these being more than one class of share, all the securities of each respective class, are, and will remain, identical in all respects, viz.:</w:t>
      </w:r>
    </w:p>
    <w:p w14:paraId="579F0213" w14:textId="77777777" w:rsidR="009746A2" w:rsidRPr="00114D2F" w:rsidRDefault="009746A2" w:rsidP="009746A2">
      <w:pPr>
        <w:pStyle w:val="i-000a"/>
        <w:rPr>
          <w:rFonts w:ascii="Calibri" w:hAnsi="Calibri" w:cs="Calibri"/>
          <w:sz w:val="22"/>
          <w:szCs w:val="22"/>
        </w:rPr>
      </w:pPr>
      <w:r w:rsidRPr="00114D2F">
        <w:rPr>
          <w:rFonts w:ascii="Calibri" w:hAnsi="Calibri" w:cs="Calibri"/>
          <w:sz w:val="22"/>
          <w:szCs w:val="22"/>
        </w:rPr>
        <w:tab/>
        <w:t>(i)</w:t>
      </w:r>
      <w:r w:rsidRPr="00114D2F">
        <w:rPr>
          <w:rFonts w:ascii="Calibri" w:hAnsi="Calibri" w:cs="Calibri"/>
          <w:sz w:val="22"/>
          <w:szCs w:val="22"/>
        </w:rPr>
        <w:tab/>
        <w:t xml:space="preserve">they are of the same nominal value and are all fully </w:t>
      </w:r>
      <w:proofErr w:type="gramStart"/>
      <w:r w:rsidRPr="00114D2F">
        <w:rPr>
          <w:rFonts w:ascii="Calibri" w:hAnsi="Calibri" w:cs="Calibri"/>
          <w:sz w:val="22"/>
          <w:szCs w:val="22"/>
        </w:rPr>
        <w:t>paid;</w:t>
      </w:r>
      <w:proofErr w:type="gramEnd"/>
    </w:p>
    <w:p w14:paraId="0A1F6D0B" w14:textId="77777777" w:rsidR="009746A2" w:rsidRPr="00114D2F" w:rsidRDefault="009746A2" w:rsidP="009746A2">
      <w:pPr>
        <w:pStyle w:val="i-000a"/>
        <w:rPr>
          <w:rFonts w:ascii="Calibri" w:hAnsi="Calibri" w:cs="Calibri"/>
          <w:sz w:val="22"/>
          <w:szCs w:val="22"/>
        </w:rPr>
      </w:pPr>
      <w:r w:rsidRPr="00114D2F">
        <w:rPr>
          <w:rFonts w:ascii="Calibri" w:hAnsi="Calibri" w:cs="Calibri"/>
          <w:sz w:val="22"/>
          <w:szCs w:val="22"/>
        </w:rPr>
        <w:tab/>
        <w:t>(ii)</w:t>
      </w:r>
      <w:r w:rsidRPr="00114D2F">
        <w:rPr>
          <w:rFonts w:ascii="Calibri" w:hAnsi="Calibri" w:cs="Calibri"/>
          <w:sz w:val="22"/>
          <w:szCs w:val="22"/>
        </w:rPr>
        <w:tab/>
        <w:t>they carry the same rights as to unrestricted transfer, attendance and voting at general/annual general meetings and in all other respects; and</w:t>
      </w:r>
    </w:p>
    <w:p w14:paraId="72A7062D" w14:textId="77777777" w:rsidR="009746A2" w:rsidRPr="00114D2F" w:rsidRDefault="009746A2" w:rsidP="009746A2">
      <w:pPr>
        <w:pStyle w:val="i-000a"/>
        <w:rPr>
          <w:rFonts w:ascii="Calibri" w:hAnsi="Calibri" w:cs="Calibri"/>
          <w:sz w:val="22"/>
          <w:szCs w:val="22"/>
        </w:rPr>
      </w:pPr>
      <w:r w:rsidRPr="00114D2F">
        <w:rPr>
          <w:rFonts w:ascii="Calibri" w:hAnsi="Calibri" w:cs="Calibri"/>
          <w:sz w:val="22"/>
          <w:szCs w:val="22"/>
        </w:rPr>
        <w:tab/>
        <w:t>(iii)</w:t>
      </w:r>
      <w:r w:rsidRPr="00114D2F">
        <w:rPr>
          <w:rFonts w:ascii="Calibri" w:hAnsi="Calibri" w:cs="Calibri"/>
          <w:sz w:val="22"/>
          <w:szCs w:val="22"/>
        </w:rPr>
        <w:tab/>
        <w:t xml:space="preserve">they are entitled to dividends at the same rate and for the same period so that, on the next ensuing distribution the dividend payable on each share will be the same </w:t>
      </w:r>
      <w:proofErr w:type="gramStart"/>
      <w:r w:rsidRPr="00114D2F">
        <w:rPr>
          <w:rFonts w:ascii="Calibri" w:hAnsi="Calibri" w:cs="Calibri"/>
          <w:sz w:val="22"/>
          <w:szCs w:val="22"/>
        </w:rPr>
        <w:t>amount;</w:t>
      </w:r>
      <w:proofErr w:type="gramEnd"/>
    </w:p>
    <w:p w14:paraId="0CA4DB9F" w14:textId="77777777" w:rsidR="009746A2" w:rsidRPr="00114D2F" w:rsidRDefault="009746A2" w:rsidP="009746A2">
      <w:pPr>
        <w:pStyle w:val="a-000"/>
        <w:rPr>
          <w:rFonts w:ascii="Calibri" w:hAnsi="Calibri" w:cs="Calibri"/>
          <w:sz w:val="22"/>
          <w:szCs w:val="22"/>
        </w:rPr>
      </w:pPr>
      <w:r w:rsidRPr="00114D2F">
        <w:rPr>
          <w:rFonts w:ascii="Calibri" w:hAnsi="Calibri" w:cs="Calibri"/>
          <w:sz w:val="22"/>
          <w:szCs w:val="22"/>
        </w:rPr>
        <w:tab/>
        <w:t>(b)</w:t>
      </w:r>
      <w:r w:rsidRPr="00114D2F">
        <w:rPr>
          <w:rFonts w:ascii="Calibri" w:hAnsi="Calibri" w:cs="Calibri"/>
          <w:sz w:val="22"/>
          <w:szCs w:val="22"/>
        </w:rPr>
        <w:tab/>
        <w:t>before taking any action which, for statutory or other reasons would require the reinstatement of distinguishing numbers of the said securities or would or might cause difficulty or doubts in distinguishing between securities for which a listing has been granted and between other securities in the capital of the applicant issuer, formal notice will be given to the JSE of the intended action with full particulars of all relevant facts; and</w:t>
      </w:r>
    </w:p>
    <w:p w14:paraId="2B8A0C33" w14:textId="77777777" w:rsidR="009746A2" w:rsidRPr="00114D2F" w:rsidRDefault="009746A2" w:rsidP="009746A2">
      <w:pPr>
        <w:pStyle w:val="a-000"/>
        <w:rPr>
          <w:rFonts w:ascii="Calibri" w:hAnsi="Calibri" w:cs="Calibri"/>
          <w:sz w:val="22"/>
          <w:szCs w:val="22"/>
        </w:rPr>
      </w:pPr>
      <w:r w:rsidRPr="00114D2F">
        <w:rPr>
          <w:rFonts w:ascii="Calibri" w:hAnsi="Calibri" w:cs="Calibri"/>
          <w:sz w:val="22"/>
          <w:szCs w:val="22"/>
        </w:rPr>
        <w:tab/>
        <w:t>(c)</w:t>
      </w:r>
      <w:r w:rsidRPr="00114D2F">
        <w:rPr>
          <w:rFonts w:ascii="Calibri" w:hAnsi="Calibri" w:cs="Calibri"/>
          <w:sz w:val="22"/>
          <w:szCs w:val="22"/>
        </w:rPr>
        <w:tab/>
        <w:t xml:space="preserve">the applicant issuer will accept for registration transfer deeds and certificates. </w:t>
      </w:r>
      <w:r w:rsidRPr="00114D2F">
        <w:rPr>
          <w:rStyle w:val="FootnoteReference"/>
          <w:rFonts w:ascii="Calibri" w:hAnsi="Calibri" w:cs="Calibri"/>
          <w:sz w:val="22"/>
          <w:szCs w:val="22"/>
        </w:rPr>
        <w:footnoteReference w:customMarkFollows="1" w:id="6"/>
        <w:t> </w:t>
      </w:r>
    </w:p>
    <w:p w14:paraId="76C171CA" w14:textId="77777777" w:rsidR="00DB0FDB" w:rsidRPr="00114D2F" w:rsidRDefault="00DB0FDB">
      <w:pPr>
        <w:rPr>
          <w:rFonts w:ascii="Calibri" w:hAnsi="Calibri" w:cs="Calibri"/>
          <w:sz w:val="22"/>
          <w:szCs w:val="22"/>
        </w:rPr>
      </w:pPr>
    </w:p>
    <w:sectPr w:rsidR="00DB0FDB" w:rsidRPr="00114D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C788" w14:textId="77777777" w:rsidR="00B6056A" w:rsidRDefault="00B6056A" w:rsidP="009746A2">
      <w:pPr>
        <w:spacing w:before="0"/>
      </w:pPr>
      <w:r>
        <w:separator/>
      </w:r>
    </w:p>
  </w:endnote>
  <w:endnote w:type="continuationSeparator" w:id="0">
    <w:p w14:paraId="57409EB6" w14:textId="77777777" w:rsidR="00B6056A" w:rsidRDefault="00B6056A" w:rsidP="009746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9F17" w14:textId="77777777" w:rsidR="00B6056A" w:rsidRDefault="00B6056A" w:rsidP="009746A2">
      <w:pPr>
        <w:spacing w:before="0"/>
      </w:pPr>
      <w:r>
        <w:separator/>
      </w:r>
    </w:p>
  </w:footnote>
  <w:footnote w:type="continuationSeparator" w:id="0">
    <w:p w14:paraId="3E9D81BB" w14:textId="77777777" w:rsidR="00B6056A" w:rsidRDefault="00B6056A" w:rsidP="009746A2">
      <w:pPr>
        <w:spacing w:before="0"/>
      </w:pPr>
      <w:r>
        <w:continuationSeparator/>
      </w:r>
    </w:p>
  </w:footnote>
  <w:footnote w:id="1">
    <w:p w14:paraId="07529E6C" w14:textId="173134B1" w:rsidR="009746A2" w:rsidRPr="008D4325" w:rsidRDefault="009746A2" w:rsidP="009746A2">
      <w:pPr>
        <w:pStyle w:val="footnotes"/>
      </w:pPr>
    </w:p>
  </w:footnote>
  <w:footnote w:id="2">
    <w:p w14:paraId="079457A0" w14:textId="257BBDE8" w:rsidR="009746A2" w:rsidRPr="008D4325" w:rsidRDefault="009746A2" w:rsidP="009746A2">
      <w:pPr>
        <w:pStyle w:val="footnotes"/>
      </w:pPr>
    </w:p>
  </w:footnote>
  <w:footnote w:id="3">
    <w:p w14:paraId="60F2460D" w14:textId="5B820161" w:rsidR="009746A2" w:rsidRPr="008D4325" w:rsidRDefault="009746A2" w:rsidP="009746A2">
      <w:pPr>
        <w:pStyle w:val="footnotes"/>
      </w:pPr>
    </w:p>
  </w:footnote>
  <w:footnote w:id="4">
    <w:p w14:paraId="49765204" w14:textId="4EA643C0" w:rsidR="009746A2" w:rsidRPr="008D4325" w:rsidRDefault="009746A2" w:rsidP="009746A2">
      <w:pPr>
        <w:pStyle w:val="footnotes"/>
      </w:pPr>
      <w:r w:rsidRPr="008D4325">
        <w:tab/>
      </w:r>
    </w:p>
  </w:footnote>
  <w:footnote w:id="5">
    <w:p w14:paraId="5B352F81" w14:textId="337C9D2B" w:rsidR="009746A2" w:rsidRPr="008D4325" w:rsidRDefault="009746A2" w:rsidP="009746A2">
      <w:pPr>
        <w:pStyle w:val="footnotes"/>
      </w:pPr>
      <w:r w:rsidRPr="008D4325">
        <w:tab/>
      </w:r>
    </w:p>
  </w:footnote>
  <w:footnote w:id="6">
    <w:p w14:paraId="226C4FB7" w14:textId="1EBC28F9" w:rsidR="009746A2" w:rsidRPr="008D4325" w:rsidRDefault="009746A2" w:rsidP="009746A2">
      <w:pPr>
        <w:pStyle w:val="footnot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A2"/>
    <w:rsid w:val="00037EA9"/>
    <w:rsid w:val="00063375"/>
    <w:rsid w:val="00092466"/>
    <w:rsid w:val="000A0163"/>
    <w:rsid w:val="000A575E"/>
    <w:rsid w:val="000C717A"/>
    <w:rsid w:val="000D5551"/>
    <w:rsid w:val="00114D2F"/>
    <w:rsid w:val="00166526"/>
    <w:rsid w:val="00170F61"/>
    <w:rsid w:val="001B4778"/>
    <w:rsid w:val="001C3232"/>
    <w:rsid w:val="002870AD"/>
    <w:rsid w:val="002A1509"/>
    <w:rsid w:val="003306CB"/>
    <w:rsid w:val="00354E97"/>
    <w:rsid w:val="00356D0C"/>
    <w:rsid w:val="003B3004"/>
    <w:rsid w:val="00410162"/>
    <w:rsid w:val="00420C50"/>
    <w:rsid w:val="004355D4"/>
    <w:rsid w:val="004415EA"/>
    <w:rsid w:val="00443AE7"/>
    <w:rsid w:val="004B615E"/>
    <w:rsid w:val="004B7861"/>
    <w:rsid w:val="004C11F4"/>
    <w:rsid w:val="0051546D"/>
    <w:rsid w:val="0052739B"/>
    <w:rsid w:val="005832E9"/>
    <w:rsid w:val="0060792D"/>
    <w:rsid w:val="00664B39"/>
    <w:rsid w:val="006A6652"/>
    <w:rsid w:val="006B6540"/>
    <w:rsid w:val="006E74F3"/>
    <w:rsid w:val="0070506B"/>
    <w:rsid w:val="00736F10"/>
    <w:rsid w:val="007553B0"/>
    <w:rsid w:val="00766624"/>
    <w:rsid w:val="00775948"/>
    <w:rsid w:val="00791953"/>
    <w:rsid w:val="007B15D5"/>
    <w:rsid w:val="007B5B0F"/>
    <w:rsid w:val="007C1975"/>
    <w:rsid w:val="007F1E3D"/>
    <w:rsid w:val="0086573C"/>
    <w:rsid w:val="008671A4"/>
    <w:rsid w:val="008675D7"/>
    <w:rsid w:val="00867E23"/>
    <w:rsid w:val="00867EF9"/>
    <w:rsid w:val="0087760F"/>
    <w:rsid w:val="00882CB2"/>
    <w:rsid w:val="00886D38"/>
    <w:rsid w:val="008F3AF9"/>
    <w:rsid w:val="009027BA"/>
    <w:rsid w:val="00953E48"/>
    <w:rsid w:val="009645DD"/>
    <w:rsid w:val="009746A2"/>
    <w:rsid w:val="009A4BF6"/>
    <w:rsid w:val="009C5AFB"/>
    <w:rsid w:val="009F2340"/>
    <w:rsid w:val="00A310B4"/>
    <w:rsid w:val="00A7640E"/>
    <w:rsid w:val="00A8576F"/>
    <w:rsid w:val="00AA61D4"/>
    <w:rsid w:val="00B6056A"/>
    <w:rsid w:val="00B61896"/>
    <w:rsid w:val="00B94118"/>
    <w:rsid w:val="00BA5944"/>
    <w:rsid w:val="00BB2B05"/>
    <w:rsid w:val="00BB4F64"/>
    <w:rsid w:val="00BE0489"/>
    <w:rsid w:val="00BF62FA"/>
    <w:rsid w:val="00C275C5"/>
    <w:rsid w:val="00C51791"/>
    <w:rsid w:val="00CA6B46"/>
    <w:rsid w:val="00CB7EF1"/>
    <w:rsid w:val="00CD0185"/>
    <w:rsid w:val="00D0335F"/>
    <w:rsid w:val="00D1204F"/>
    <w:rsid w:val="00D30442"/>
    <w:rsid w:val="00D6505E"/>
    <w:rsid w:val="00D764A2"/>
    <w:rsid w:val="00DA31A7"/>
    <w:rsid w:val="00DB0FDB"/>
    <w:rsid w:val="00DE2A9B"/>
    <w:rsid w:val="00DF7973"/>
    <w:rsid w:val="00E04A9A"/>
    <w:rsid w:val="00E117DC"/>
    <w:rsid w:val="00E22A5A"/>
    <w:rsid w:val="00E30981"/>
    <w:rsid w:val="00E52C4A"/>
    <w:rsid w:val="00EF5ACD"/>
    <w:rsid w:val="00F00465"/>
    <w:rsid w:val="00F228EA"/>
    <w:rsid w:val="00F37664"/>
    <w:rsid w:val="00FB25CE"/>
    <w:rsid w:val="00FB2B11"/>
    <w:rsid w:val="00FC4F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E46B"/>
  <w15:chartTrackingRefBased/>
  <w15:docId w15:val="{6146A8A8-2A13-4366-BB62-A998953B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A2"/>
    <w:pPr>
      <w:widowControl w:val="0"/>
      <w:spacing w:before="180" w:after="0" w:line="240" w:lineRule="auto"/>
      <w:jc w:val="both"/>
    </w:pPr>
    <w:rPr>
      <w:rFonts w:ascii="Verdana" w:eastAsia="Times New Roman" w:hAnsi="Verdana" w:cs="Times New Roman"/>
      <w:kern w:val="0"/>
      <w:sz w:val="18"/>
      <w:szCs w:val="20"/>
      <w:lang w:val="en-GB"/>
      <w14:ligatures w14:val="none"/>
    </w:rPr>
  </w:style>
  <w:style w:type="paragraph" w:styleId="Heading1">
    <w:name w:val="heading 1"/>
    <w:basedOn w:val="Normal"/>
    <w:next w:val="Normal"/>
    <w:link w:val="Heading1Char"/>
    <w:uiPriority w:val="9"/>
    <w:qFormat/>
    <w:rsid w:val="00974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6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6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6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6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A2"/>
    <w:rPr>
      <w:rFonts w:eastAsiaTheme="majorEastAsia" w:cstheme="majorBidi"/>
      <w:color w:val="272727" w:themeColor="text1" w:themeTint="D8"/>
    </w:rPr>
  </w:style>
  <w:style w:type="paragraph" w:styleId="Title">
    <w:name w:val="Title"/>
    <w:basedOn w:val="Normal"/>
    <w:next w:val="Normal"/>
    <w:link w:val="TitleChar"/>
    <w:uiPriority w:val="10"/>
    <w:qFormat/>
    <w:rsid w:val="00974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6A2"/>
    <w:pPr>
      <w:spacing w:before="160"/>
      <w:jc w:val="center"/>
    </w:pPr>
    <w:rPr>
      <w:i/>
      <w:iCs/>
      <w:color w:val="404040" w:themeColor="text1" w:themeTint="BF"/>
    </w:rPr>
  </w:style>
  <w:style w:type="character" w:customStyle="1" w:styleId="QuoteChar">
    <w:name w:val="Quote Char"/>
    <w:basedOn w:val="DefaultParagraphFont"/>
    <w:link w:val="Quote"/>
    <w:uiPriority w:val="29"/>
    <w:rsid w:val="009746A2"/>
    <w:rPr>
      <w:i/>
      <w:iCs/>
      <w:color w:val="404040" w:themeColor="text1" w:themeTint="BF"/>
    </w:rPr>
  </w:style>
  <w:style w:type="paragraph" w:styleId="ListParagraph">
    <w:name w:val="List Paragraph"/>
    <w:basedOn w:val="Normal"/>
    <w:uiPriority w:val="34"/>
    <w:qFormat/>
    <w:rsid w:val="009746A2"/>
    <w:pPr>
      <w:ind w:left="720"/>
      <w:contextualSpacing/>
    </w:pPr>
  </w:style>
  <w:style w:type="character" w:styleId="IntenseEmphasis">
    <w:name w:val="Intense Emphasis"/>
    <w:basedOn w:val="DefaultParagraphFont"/>
    <w:uiPriority w:val="21"/>
    <w:qFormat/>
    <w:rsid w:val="009746A2"/>
    <w:rPr>
      <w:i/>
      <w:iCs/>
      <w:color w:val="0F4761" w:themeColor="accent1" w:themeShade="BF"/>
    </w:rPr>
  </w:style>
  <w:style w:type="paragraph" w:styleId="IntenseQuote">
    <w:name w:val="Intense Quote"/>
    <w:basedOn w:val="Normal"/>
    <w:next w:val="Normal"/>
    <w:link w:val="IntenseQuoteChar"/>
    <w:uiPriority w:val="30"/>
    <w:qFormat/>
    <w:rsid w:val="00974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6A2"/>
    <w:rPr>
      <w:i/>
      <w:iCs/>
      <w:color w:val="0F4761" w:themeColor="accent1" w:themeShade="BF"/>
    </w:rPr>
  </w:style>
  <w:style w:type="character" w:styleId="IntenseReference">
    <w:name w:val="Intense Reference"/>
    <w:basedOn w:val="DefaultParagraphFont"/>
    <w:uiPriority w:val="32"/>
    <w:qFormat/>
    <w:rsid w:val="009746A2"/>
    <w:rPr>
      <w:b/>
      <w:bCs/>
      <w:smallCaps/>
      <w:color w:val="0F4761" w:themeColor="accent1" w:themeShade="BF"/>
      <w:spacing w:val="5"/>
    </w:rPr>
  </w:style>
  <w:style w:type="paragraph" w:customStyle="1" w:styleId="a-000">
    <w:name w:val="(a)-0.00"/>
    <w:basedOn w:val="Normal"/>
    <w:rsid w:val="009746A2"/>
    <w:pPr>
      <w:tabs>
        <w:tab w:val="left" w:pos="794"/>
        <w:tab w:val="left" w:pos="1304"/>
      </w:tabs>
      <w:ind w:left="1304" w:hanging="1304"/>
    </w:pPr>
  </w:style>
  <w:style w:type="paragraph" w:customStyle="1" w:styleId="000">
    <w:name w:val="0.00"/>
    <w:basedOn w:val="Normal"/>
    <w:rsid w:val="009746A2"/>
    <w:pPr>
      <w:tabs>
        <w:tab w:val="left" w:pos="794"/>
      </w:tabs>
      <w:ind w:left="794" w:hanging="794"/>
    </w:pPr>
  </w:style>
  <w:style w:type="paragraph" w:customStyle="1" w:styleId="head1">
    <w:name w:val="head1"/>
    <w:basedOn w:val="Normal"/>
    <w:rsid w:val="009746A2"/>
    <w:pPr>
      <w:spacing w:before="360"/>
      <w:jc w:val="left"/>
    </w:pPr>
    <w:rPr>
      <w:b/>
    </w:rPr>
  </w:style>
  <w:style w:type="paragraph" w:customStyle="1" w:styleId="tabletext">
    <w:name w:val="tabletext"/>
    <w:basedOn w:val="Normal"/>
    <w:rsid w:val="009746A2"/>
    <w:pPr>
      <w:spacing w:before="0"/>
      <w:jc w:val="left"/>
    </w:pPr>
    <w:rPr>
      <w:sz w:val="16"/>
    </w:rPr>
  </w:style>
  <w:style w:type="paragraph" w:customStyle="1" w:styleId="i-000a">
    <w:name w:val="(i)-0.00(a)"/>
    <w:basedOn w:val="Normal"/>
    <w:rsid w:val="009746A2"/>
    <w:pPr>
      <w:tabs>
        <w:tab w:val="right" w:pos="1758"/>
        <w:tab w:val="left" w:pos="1928"/>
      </w:tabs>
      <w:ind w:left="1928" w:hanging="1928"/>
    </w:pPr>
  </w:style>
  <w:style w:type="paragraph" w:customStyle="1" w:styleId="parafullout">
    <w:name w:val="parafullout"/>
    <w:basedOn w:val="Normal"/>
    <w:rsid w:val="009746A2"/>
  </w:style>
  <w:style w:type="paragraph" w:customStyle="1" w:styleId="footnotes">
    <w:name w:val="footnotes"/>
    <w:basedOn w:val="Normal"/>
    <w:rsid w:val="009746A2"/>
    <w:pPr>
      <w:widowControl/>
      <w:tabs>
        <w:tab w:val="left" w:pos="340"/>
      </w:tabs>
      <w:spacing w:before="0"/>
      <w:ind w:left="340" w:hanging="340"/>
    </w:pPr>
    <w:rPr>
      <w:sz w:val="16"/>
    </w:rPr>
  </w:style>
  <w:style w:type="character" w:styleId="FootnoteReference">
    <w:name w:val="footnote reference"/>
    <w:semiHidden/>
    <w:rsid w:val="009746A2"/>
    <w:rPr>
      <w:vertAlign w:val="superscript"/>
    </w:rPr>
  </w:style>
  <w:style w:type="table" w:styleId="TableGrid">
    <w:name w:val="Table Grid"/>
    <w:basedOn w:val="TableNormal"/>
    <w:uiPriority w:val="39"/>
    <w:rsid w:val="003B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2205</Characters>
  <Application>Microsoft Office Word</Application>
  <DocSecurity>0</DocSecurity>
  <Lines>73</Lines>
  <Paragraphs>49</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8</cp:revision>
  <dcterms:created xsi:type="dcterms:W3CDTF">2024-07-23T06:22:00Z</dcterms:created>
  <dcterms:modified xsi:type="dcterms:W3CDTF">2025-12-08T14:55:00Z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2024-07-23T06:22:41Z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72fd5359-afa6-429f-9217-673a427f9697</vt:lpwstr>
  </property>
  <property fmtid="{D5CDD505-2E9C-101B-9397-08002B2CF9AE}" pid="8" name="MSIP_Label_ce93fc94-2a04-4870-acee-9c0cd4b7d590_ContentBits">
    <vt:lpwstr>0</vt:lpwstr>
  </property>
</Properties>
</file>