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C36F" w14:textId="77777777" w:rsidR="009D560E" w:rsidRPr="009D560E" w:rsidRDefault="009D560E" w:rsidP="009D560E">
      <w:pPr>
        <w:rPr>
          <w:b/>
          <w:u w:val="single"/>
        </w:rPr>
      </w:pPr>
      <w:r w:rsidRPr="009D560E">
        <w:rPr>
          <w:b/>
          <w:u w:val="single"/>
        </w:rPr>
        <w:t>JSE Approved Index Calculators</w:t>
      </w:r>
    </w:p>
    <w:p w14:paraId="000DDBFD" w14:textId="21D354AA" w:rsidR="00A1162A" w:rsidRDefault="00A1162A" w:rsidP="004607BB">
      <w:r>
        <w:t>Barclays Capital</w:t>
      </w:r>
    </w:p>
    <w:p w14:paraId="2EBD21D3" w14:textId="1BD0808C" w:rsidR="00A1162A" w:rsidRDefault="00A1162A" w:rsidP="004607BB">
      <w:r>
        <w:t xml:space="preserve">Bloomberg Finance L.P </w:t>
      </w:r>
    </w:p>
    <w:p w14:paraId="28C755E0" w14:textId="77777777" w:rsidR="00A1162A" w:rsidRDefault="00A1162A" w:rsidP="004607BB">
      <w:r>
        <w:t>BNP Paribas</w:t>
      </w:r>
    </w:p>
    <w:p w14:paraId="023638A9" w14:textId="77777777" w:rsidR="00A1162A" w:rsidRDefault="00A1162A" w:rsidP="004607BB">
      <w:r>
        <w:t>Citi Group Index LLC</w:t>
      </w:r>
    </w:p>
    <w:p w14:paraId="75286D67" w14:textId="77777777" w:rsidR="00A1162A" w:rsidRDefault="00A1162A" w:rsidP="004607BB">
      <w:r>
        <w:t xml:space="preserve">Commerzbank </w:t>
      </w:r>
      <w:proofErr w:type="spellStart"/>
      <w:r>
        <w:t>Aktiengesellschaft</w:t>
      </w:r>
      <w:proofErr w:type="spellEnd"/>
    </w:p>
    <w:p w14:paraId="2AFA0999" w14:textId="77777777" w:rsidR="00A1162A" w:rsidRDefault="00A1162A" w:rsidP="004607BB">
      <w:r>
        <w:t>Credit Suisse International</w:t>
      </w:r>
    </w:p>
    <w:p w14:paraId="554F02D4" w14:textId="77777777" w:rsidR="00A1162A" w:rsidRDefault="00A1162A" w:rsidP="004607BB">
      <w:r>
        <w:t>Deutsche Bank Research</w:t>
      </w:r>
    </w:p>
    <w:p w14:paraId="532C6D76" w14:textId="77777777" w:rsidR="00A1162A" w:rsidRDefault="00A1162A" w:rsidP="004607BB">
      <w:r>
        <w:t>ERI Scientific Beta</w:t>
      </w:r>
    </w:p>
    <w:p w14:paraId="6A7017AA" w14:textId="77777777" w:rsidR="00A1162A" w:rsidRDefault="00A1162A" w:rsidP="004607BB">
      <w:r>
        <w:t>Euromoney</w:t>
      </w:r>
    </w:p>
    <w:p w14:paraId="6948BFC1" w14:textId="77777777" w:rsidR="00A1162A" w:rsidRDefault="00A1162A" w:rsidP="004607BB">
      <w:r>
        <w:t>FTSE</w:t>
      </w:r>
    </w:p>
    <w:p w14:paraId="26F137A4" w14:textId="77777777" w:rsidR="00A1162A" w:rsidRDefault="00A1162A" w:rsidP="004607BB">
      <w:r>
        <w:t>Global Property Research B.V.</w:t>
      </w:r>
    </w:p>
    <w:p w14:paraId="0EF050F8" w14:textId="77777777" w:rsidR="00A1162A" w:rsidRDefault="00A1162A" w:rsidP="004607BB">
      <w:r w:rsidRPr="00540F8F">
        <w:t>ICE Data Services</w:t>
      </w:r>
    </w:p>
    <w:p w14:paraId="345EEB06" w14:textId="77777777" w:rsidR="00A1162A" w:rsidRDefault="00A1162A" w:rsidP="004607BB">
      <w:r>
        <w:t>IHS Markit</w:t>
      </w:r>
    </w:p>
    <w:p w14:paraId="7E55CE38" w14:textId="77777777" w:rsidR="00A1162A" w:rsidRDefault="00A1162A" w:rsidP="004607BB">
      <w:r>
        <w:t>MSCI</w:t>
      </w:r>
    </w:p>
    <w:p w14:paraId="3CD5488F" w14:textId="77777777" w:rsidR="00A1162A" w:rsidRDefault="00A1162A" w:rsidP="004607BB">
      <w:r w:rsidRPr="000136E9">
        <w:t xml:space="preserve">Nasdaq Global Markets </w:t>
      </w:r>
      <w:r>
        <w:t>Euronext</w:t>
      </w:r>
    </w:p>
    <w:p w14:paraId="5D4D667F" w14:textId="77777777" w:rsidR="00A1162A" w:rsidRDefault="00A1162A" w:rsidP="004607BB">
      <w:r>
        <w:rPr>
          <w:color w:val="282828"/>
          <w:sz w:val="21"/>
          <w:szCs w:val="21"/>
        </w:rPr>
        <w:t>Nikkei Inc</w:t>
      </w:r>
    </w:p>
    <w:p w14:paraId="7D61FA16" w14:textId="77777777" w:rsidR="00A1162A" w:rsidRDefault="00A1162A" w:rsidP="004607BB">
      <w:r>
        <w:t>NYSE</w:t>
      </w:r>
    </w:p>
    <w:p w14:paraId="32C42A09" w14:textId="77777777" w:rsidR="00A1162A" w:rsidRDefault="00A1162A" w:rsidP="004607BB">
      <w:r>
        <w:t>Rand Merchant Bank</w:t>
      </w:r>
    </w:p>
    <w:p w14:paraId="2A8D617B" w14:textId="77777777" w:rsidR="00A1162A" w:rsidRDefault="00A1162A" w:rsidP="004607BB">
      <w:proofErr w:type="spellStart"/>
      <w:r>
        <w:t>Riscura</w:t>
      </w:r>
      <w:proofErr w:type="spellEnd"/>
    </w:p>
    <w:p w14:paraId="0CE166BB" w14:textId="77777777" w:rsidR="00A1162A" w:rsidRDefault="00A1162A" w:rsidP="004607BB">
      <w:r>
        <w:t>S&amp;P Dow Jones Indices</w:t>
      </w:r>
    </w:p>
    <w:p w14:paraId="3E2ECC81" w14:textId="77777777" w:rsidR="00A1162A" w:rsidRDefault="00A1162A" w:rsidP="004607BB">
      <w:proofErr w:type="spellStart"/>
      <w:r>
        <w:t>Solactive</w:t>
      </w:r>
      <w:proofErr w:type="spellEnd"/>
      <w:r>
        <w:t xml:space="preserve"> AG (previously known as Structured Solutions)</w:t>
      </w:r>
    </w:p>
    <w:p w14:paraId="24685006" w14:textId="77777777" w:rsidR="00A1162A" w:rsidRDefault="00A1162A" w:rsidP="004607BB">
      <w:r>
        <w:t>Standard Bank Research</w:t>
      </w:r>
    </w:p>
    <w:p w14:paraId="50D2C3E1" w14:textId="77777777" w:rsidR="00A1162A" w:rsidRDefault="00A1162A" w:rsidP="004607BB">
      <w:r>
        <w:t>Stoxx Limited</w:t>
      </w:r>
    </w:p>
    <w:p w14:paraId="40B17670" w14:textId="77777777" w:rsidR="00A1162A" w:rsidRDefault="00A1162A" w:rsidP="004607BB">
      <w:proofErr w:type="spellStart"/>
      <w:r w:rsidRPr="00500BE4">
        <w:t>Sygnia</w:t>
      </w:r>
      <w:proofErr w:type="spellEnd"/>
      <w:r w:rsidRPr="00500BE4">
        <w:t xml:space="preserve"> Index Analytics</w:t>
      </w:r>
    </w:p>
    <w:p w14:paraId="73198F82" w14:textId="77777777" w:rsidR="00A1162A" w:rsidRDefault="00A1162A" w:rsidP="004607BB">
      <w:r>
        <w:t>Thomson Reuters</w:t>
      </w:r>
    </w:p>
    <w:p w14:paraId="36A372DA" w14:textId="77777777" w:rsidR="00A1162A" w:rsidRDefault="00A1162A" w:rsidP="004607BB">
      <w:r>
        <w:t>Tokyo Stock Exchange</w:t>
      </w:r>
    </w:p>
    <w:sectPr w:rsidR="00A11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D0B2" w14:textId="77777777" w:rsidR="00E12DA2" w:rsidRDefault="00E12DA2" w:rsidP="007649D3">
      <w:pPr>
        <w:spacing w:line="240" w:lineRule="auto"/>
      </w:pPr>
      <w:r>
        <w:separator/>
      </w:r>
    </w:p>
  </w:endnote>
  <w:endnote w:type="continuationSeparator" w:id="0">
    <w:p w14:paraId="28747DBD" w14:textId="77777777" w:rsidR="00E12DA2" w:rsidRDefault="00E12DA2" w:rsidP="00764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3537" w14:textId="77777777" w:rsidR="00E12DA2" w:rsidRDefault="00E12DA2" w:rsidP="007649D3">
      <w:pPr>
        <w:spacing w:line="240" w:lineRule="auto"/>
      </w:pPr>
      <w:r>
        <w:separator/>
      </w:r>
    </w:p>
  </w:footnote>
  <w:footnote w:type="continuationSeparator" w:id="0">
    <w:p w14:paraId="07C91368" w14:textId="77777777" w:rsidR="00E12DA2" w:rsidRDefault="00E12DA2" w:rsidP="007649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6922"/>
    <w:multiLevelType w:val="hybridMultilevel"/>
    <w:tmpl w:val="DCC031D6"/>
    <w:lvl w:ilvl="0" w:tplc="57920688">
      <w:start w:val="1"/>
      <w:numFmt w:val="decimal"/>
      <w:lvlText w:val="%1.1 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02385"/>
    <w:multiLevelType w:val="hybridMultilevel"/>
    <w:tmpl w:val="2F86A7A0"/>
    <w:lvl w:ilvl="0" w:tplc="E856E6CE">
      <w:start w:val="1"/>
      <w:numFmt w:val="decimal"/>
      <w:lvlText w:val="%1.1.1 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26BAE"/>
    <w:multiLevelType w:val="singleLevel"/>
    <w:tmpl w:val="EC6A4A2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F58220"/>
        <w:sz w:val="32"/>
      </w:rPr>
    </w:lvl>
  </w:abstractNum>
  <w:num w:numId="1" w16cid:durableId="1186793046">
    <w:abstractNumId w:val="2"/>
  </w:num>
  <w:num w:numId="2" w16cid:durableId="1652173770">
    <w:abstractNumId w:val="0"/>
  </w:num>
  <w:num w:numId="3" w16cid:durableId="14570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ZA" w:vendorID="64" w:dllVersion="6" w:nlCheck="1" w:checkStyle="0"/>
  <w:activeWritingStyle w:appName="MSWord" w:lang="en-ZA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BB"/>
    <w:rsid w:val="000136E9"/>
    <w:rsid w:val="00087007"/>
    <w:rsid w:val="001D29C7"/>
    <w:rsid w:val="003E351A"/>
    <w:rsid w:val="004607BB"/>
    <w:rsid w:val="00500BE4"/>
    <w:rsid w:val="00540F8F"/>
    <w:rsid w:val="007649D3"/>
    <w:rsid w:val="009D560E"/>
    <w:rsid w:val="00A1162A"/>
    <w:rsid w:val="00B04F20"/>
    <w:rsid w:val="00BF0764"/>
    <w:rsid w:val="00DC3CE5"/>
    <w:rsid w:val="00E1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E3DE1"/>
  <w15:chartTrackingRefBased/>
  <w15:docId w15:val="{E429AEFE-2CBE-455D-87EA-9551F1F8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7BB"/>
    <w:pPr>
      <w:spacing w:line="288" w:lineRule="auto"/>
      <w:jc w:val="both"/>
    </w:pPr>
    <w:rPr>
      <w:rFonts w:eastAsia="Times New Roman" w:cs="Arial"/>
      <w:szCs w:val="24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7BB"/>
    <w:pPr>
      <w:outlineLvl w:val="0"/>
    </w:pPr>
    <w:rPr>
      <w:b/>
      <w:caps/>
      <w:color w:val="262626"/>
      <w:szCs w:val="20"/>
    </w:rPr>
  </w:style>
  <w:style w:type="paragraph" w:styleId="Heading2">
    <w:name w:val="heading 2"/>
    <w:basedOn w:val="Normal"/>
    <w:next w:val="Normal"/>
    <w:link w:val="Heading2Char"/>
    <w:uiPriority w:val="1"/>
    <w:rsid w:val="004607BB"/>
    <w:pPr>
      <w:keepNext/>
      <w:spacing w:before="120" w:after="60"/>
      <w:outlineLvl w:val="1"/>
    </w:pPr>
    <w:rPr>
      <w:bCs/>
      <w:i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607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96A0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07BB"/>
    <w:rPr>
      <w:rFonts w:eastAsia="Times New Roman" w:cs="Arial"/>
      <w:b/>
      <w:caps/>
      <w:color w:val="262626"/>
      <w:lang w:eastAsia="en-ZA"/>
    </w:rPr>
  </w:style>
  <w:style w:type="paragraph" w:customStyle="1" w:styleId="cbstyle1235">
    <w:name w:val="cbstyle_1235"/>
    <w:basedOn w:val="Normal"/>
    <w:next w:val="Normal"/>
    <w:link w:val="cbstyle1235Char"/>
    <w:rsid w:val="004607BB"/>
    <w:pPr>
      <w:widowControl w:val="0"/>
    </w:pPr>
    <w:rPr>
      <w:rFonts w:cs="Calibri"/>
      <w:b/>
      <w:color w:val="000000"/>
    </w:rPr>
  </w:style>
  <w:style w:type="character" w:customStyle="1" w:styleId="cbstyle1235Char">
    <w:name w:val="cbstyle_1235 Char"/>
    <w:basedOn w:val="DefaultParagraphFont"/>
    <w:link w:val="cbstyle1235"/>
    <w:rsid w:val="004607BB"/>
    <w:rPr>
      <w:rFonts w:cs="Calibri"/>
      <w:b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4607BB"/>
    <w:rPr>
      <w:rFonts w:eastAsia="Times New Roman" w:cs="Arial"/>
      <w:bCs/>
      <w:iCs/>
      <w:color w:val="000000" w:themeColor="text1"/>
      <w:sz w:val="28"/>
      <w:szCs w:val="28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4607BB"/>
    <w:rPr>
      <w:rFonts w:asciiTheme="majorHAnsi" w:eastAsiaTheme="majorEastAsia" w:hAnsiTheme="majorHAnsi" w:cstheme="majorBidi"/>
      <w:color w:val="496A00" w:themeColor="accent1" w:themeShade="7F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07BB"/>
    <w:rPr>
      <w:rFonts w:ascii="Tahoma" w:eastAsia="Times New Roman" w:hAnsi="Tahoma" w:cs="Tahoma"/>
      <w:sz w:val="16"/>
      <w:szCs w:val="16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4607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7BB"/>
    <w:rPr>
      <w:rFonts w:eastAsia="Times New Roman" w:cs="Arial"/>
      <w:szCs w:val="24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4607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7BB"/>
    <w:rPr>
      <w:rFonts w:eastAsia="Times New Roman" w:cs="Arial"/>
      <w:szCs w:val="24"/>
      <w:lang w:eastAsia="en-ZA"/>
    </w:rPr>
  </w:style>
  <w:style w:type="table" w:styleId="TableGrid">
    <w:name w:val="Table Grid"/>
    <w:basedOn w:val="TableNormal"/>
    <w:uiPriority w:val="59"/>
    <w:rsid w:val="004607BB"/>
    <w:rPr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4607BB"/>
    <w:pPr>
      <w:jc w:val="both"/>
    </w:pPr>
    <w:rPr>
      <w:rFonts w:ascii="Arial" w:eastAsia="Times New Roman" w:hAnsi="Arial"/>
      <w:color w:val="262626"/>
      <w:szCs w:val="24"/>
      <w:lang w:val="en-US"/>
    </w:rPr>
  </w:style>
  <w:style w:type="character" w:styleId="Hyperlink">
    <w:name w:val="Hyperlink"/>
    <w:uiPriority w:val="99"/>
    <w:unhideWhenUsed/>
    <w:rsid w:val="004607BB"/>
    <w:rPr>
      <w:color w:val="F32836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4607B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607BB"/>
    <w:rPr>
      <w:rFonts w:eastAsiaTheme="minorEastAsia" w:cs="Arial"/>
      <w:color w:val="5A5A5A" w:themeColor="text1" w:themeTint="A5"/>
      <w:spacing w:val="15"/>
      <w:szCs w:val="22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JSE_Theme">
  <a:themeElements>
    <a:clrScheme name="JS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94D600"/>
      </a:accent1>
      <a:accent2>
        <a:srgbClr val="EA2836"/>
      </a:accent2>
      <a:accent3>
        <a:srgbClr val="009FE3"/>
      </a:accent3>
      <a:accent4>
        <a:srgbClr val="FFCE00"/>
      </a:accent4>
      <a:accent5>
        <a:srgbClr val="00A888"/>
      </a:accent5>
      <a:accent6>
        <a:srgbClr val="808080"/>
      </a:accent6>
      <a:hlink>
        <a:srgbClr val="4343FF"/>
      </a:hlink>
      <a:folHlink>
        <a:srgbClr val="9696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FA746240FC740AD3CB72B73894C92" ma:contentTypeVersion="14" ma:contentTypeDescription="Create a new document." ma:contentTypeScope="" ma:versionID="a698fd7479b1c94f92fcc7e425b34080">
  <xsd:schema xmlns:xsd="http://www.w3.org/2001/XMLSchema" xmlns:xs="http://www.w3.org/2001/XMLSchema" xmlns:p="http://schemas.microsoft.com/office/2006/metadata/properties" xmlns:ns2="920d4c4e-6ff9-4c9f-8b88-bfecc0c6e440" xmlns:ns3="7e55ded4-6bfb-494c-8161-9ba6af09e1ba" targetNamespace="http://schemas.microsoft.com/office/2006/metadata/properties" ma:root="true" ma:fieldsID="8e64cb5ebb711b184a2806a1636326b5" ns2:_="" ns3:_="">
    <xsd:import namespace="920d4c4e-6ff9-4c9f-8b88-bfecc0c6e440"/>
    <xsd:import namespace="7e55ded4-6bfb-494c-8161-9ba6af09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d4c4e-6ff9-4c9f-8b88-bfecc0c6e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43239c-602c-425e-b836-5b6d8b39d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ded4-6bfb-494c-8161-9ba6af09e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103b566-d6db-4c39-b837-5cbac37e11cd}" ma:internalName="TaxCatchAll" ma:showField="CatchAllData" ma:web="7e55ded4-6bfb-494c-8161-9ba6af09e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0d4c4e-6ff9-4c9f-8b88-bfecc0c6e440">
      <Terms xmlns="http://schemas.microsoft.com/office/infopath/2007/PartnerControls"/>
    </lcf76f155ced4ddcb4097134ff3c332f>
    <TaxCatchAll xmlns="7e55ded4-6bfb-494c-8161-9ba6af09e1ba" xsi:nil="true"/>
  </documentManagement>
</p:properties>
</file>

<file path=customXml/itemProps1.xml><?xml version="1.0" encoding="utf-8"?>
<ds:datastoreItem xmlns:ds="http://schemas.openxmlformats.org/officeDocument/2006/customXml" ds:itemID="{FB321F14-455A-4E4A-A1C5-1851A1660126}"/>
</file>

<file path=customXml/itemProps2.xml><?xml version="1.0" encoding="utf-8"?>
<ds:datastoreItem xmlns:ds="http://schemas.openxmlformats.org/officeDocument/2006/customXml" ds:itemID="{64E9185C-BD50-4D19-9970-844BC85051E0}"/>
</file>

<file path=customXml/itemProps3.xml><?xml version="1.0" encoding="utf-8"?>
<ds:datastoreItem xmlns:ds="http://schemas.openxmlformats.org/officeDocument/2006/customXml" ds:itemID="{EBC2B8F4-8747-41BD-A621-A830ED89A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Mokoena</dc:creator>
  <cp:keywords/>
  <dc:description/>
  <cp:lastModifiedBy>Rosemary Mokoena</cp:lastModifiedBy>
  <cp:revision>5</cp:revision>
  <dcterms:created xsi:type="dcterms:W3CDTF">2022-02-11T08:26:00Z</dcterms:created>
  <dcterms:modified xsi:type="dcterms:W3CDTF">2023-06-28T08:16:00Z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d8a90e-c522-4829-9625-db8c70f8b095_Enabled">
    <vt:lpwstr>true</vt:lpwstr>
  </property>
  <property fmtid="{D5CDD505-2E9C-101B-9397-08002B2CF9AE}" pid="3" name="MSIP_Label_66d8a90e-c522-4829-9625-db8c70f8b095_SetDate">
    <vt:lpwstr>2023-06-28T08:16:21Z</vt:lpwstr>
  </property>
  <property fmtid="{D5CDD505-2E9C-101B-9397-08002B2CF9AE}" pid="4" name="MSIP_Label_66d8a90e-c522-4829-9625-db8c70f8b095_Method">
    <vt:lpwstr>Privileged</vt:lpwstr>
  </property>
  <property fmtid="{D5CDD505-2E9C-101B-9397-08002B2CF9AE}" pid="5" name="MSIP_Label_66d8a90e-c522-4829-9625-db8c70f8b095_Name">
    <vt:lpwstr>Public</vt:lpwstr>
  </property>
  <property fmtid="{D5CDD505-2E9C-101B-9397-08002B2CF9AE}" pid="6" name="MSIP_Label_66d8a90e-c522-4829-9625-db8c70f8b095_SiteId">
    <vt:lpwstr>cffa6640-7572-4f05-9c64-cd88068c19d4</vt:lpwstr>
  </property>
  <property fmtid="{D5CDD505-2E9C-101B-9397-08002B2CF9AE}" pid="7" name="MSIP_Label_66d8a90e-c522-4829-9625-db8c70f8b095_ActionId">
    <vt:lpwstr>b089cfb3-7ac8-462f-896c-01f0c9f3734a</vt:lpwstr>
  </property>
  <property fmtid="{D5CDD505-2E9C-101B-9397-08002B2CF9AE}" pid="8" name="MSIP_Label_66d8a90e-c522-4829-9625-db8c70f8b095_ContentBits">
    <vt:lpwstr>0</vt:lpwstr>
  </property>
  <property fmtid="{D5CDD505-2E9C-101B-9397-08002B2CF9AE}" pid="9" name="ContentTypeId">
    <vt:lpwstr>0x010100C82FA746240FC740AD3CB72B73894C92</vt:lpwstr>
  </property>
</Properties>
</file>