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16"/>
      </w:tblGrid>
      <w:tr w:rsidR="00935B59" w:rsidRPr="00892AC5" w14:paraId="1E3DC429" w14:textId="77777777" w:rsidTr="00892AC5">
        <w:tc>
          <w:tcPr>
            <w:tcW w:w="9016" w:type="dxa"/>
            <w:shd w:val="clear" w:color="auto" w:fill="92D050"/>
          </w:tcPr>
          <w:p w14:paraId="73FE9580" w14:textId="77777777" w:rsidR="00935B59" w:rsidRDefault="00935B59" w:rsidP="00892AC5">
            <w:pPr>
              <w:pStyle w:val="Default"/>
              <w:jc w:val="both"/>
              <w:rPr>
                <w:rFonts w:ascii="Calibri" w:hAnsi="Calibri" w:cs="Calibri"/>
                <w:b/>
                <w:bCs/>
                <w:sz w:val="22"/>
                <w:szCs w:val="22"/>
              </w:rPr>
            </w:pPr>
            <w:r w:rsidRPr="00892AC5">
              <w:rPr>
                <w:rFonts w:ascii="Calibri" w:hAnsi="Calibri" w:cs="Calibri"/>
                <w:b/>
                <w:bCs/>
                <w:sz w:val="22"/>
                <w:szCs w:val="22"/>
              </w:rPr>
              <w:t xml:space="preserve">Form A4: </w:t>
            </w:r>
            <w:r w:rsidRPr="00892AC5">
              <w:rPr>
                <w:rFonts w:ascii="Calibri" w:hAnsi="Calibri" w:cs="Calibri"/>
                <w:b/>
                <w:bCs/>
                <w:sz w:val="22"/>
                <w:szCs w:val="22"/>
              </w:rPr>
              <w:t xml:space="preserve">Application for a listing of securities resulting from acquisitions, amalgamations/mergers, take-overs, share incentive schemes and convertible securities </w:t>
            </w:r>
          </w:p>
          <w:p w14:paraId="5BDFB062" w14:textId="77777777" w:rsidR="00E52272" w:rsidRDefault="00E52272" w:rsidP="00892AC5">
            <w:pPr>
              <w:pStyle w:val="Default"/>
              <w:jc w:val="both"/>
              <w:rPr>
                <w:rFonts w:asciiTheme="minorHAnsi" w:hAnsiTheme="minorHAnsi" w:cstheme="minorHAnsi"/>
                <w:b/>
                <w:bCs/>
                <w:i/>
                <w:iCs/>
                <w:sz w:val="22"/>
                <w:szCs w:val="22"/>
              </w:rPr>
            </w:pPr>
          </w:p>
          <w:p w14:paraId="1C19A0E2" w14:textId="5A086217" w:rsidR="00E52272" w:rsidRPr="003A4636" w:rsidRDefault="00E52272" w:rsidP="00892AC5">
            <w:pPr>
              <w:pStyle w:val="Default"/>
              <w:jc w:val="both"/>
              <w:rPr>
                <w:rFonts w:ascii="Calibri" w:hAnsi="Calibri" w:cs="Calibri"/>
                <w:b/>
                <w:bCs/>
                <w:sz w:val="22"/>
                <w:szCs w:val="22"/>
              </w:rPr>
            </w:pPr>
            <w:r w:rsidRPr="003A4636">
              <w:rPr>
                <w:rFonts w:ascii="Calibri" w:hAnsi="Calibri" w:cs="Calibri"/>
                <w:b/>
                <w:bCs/>
                <w:i/>
                <w:iCs/>
                <w:sz w:val="22"/>
                <w:szCs w:val="22"/>
              </w:rPr>
              <w:t>Note: Previous Form A</w:t>
            </w:r>
            <w:r w:rsidRPr="003A4636">
              <w:rPr>
                <w:rFonts w:ascii="Calibri" w:hAnsi="Calibri" w:cs="Calibri"/>
                <w:b/>
                <w:bCs/>
                <w:i/>
                <w:iCs/>
                <w:sz w:val="22"/>
                <w:szCs w:val="22"/>
              </w:rPr>
              <w:t>3</w:t>
            </w:r>
            <w:r w:rsidRPr="003A4636">
              <w:rPr>
                <w:rFonts w:ascii="Calibri" w:hAnsi="Calibri" w:cs="Calibri"/>
                <w:b/>
                <w:bCs/>
                <w:i/>
                <w:iCs/>
                <w:sz w:val="22"/>
                <w:szCs w:val="22"/>
              </w:rPr>
              <w:t xml:space="preserve"> – Schedule 2</w:t>
            </w:r>
          </w:p>
        </w:tc>
      </w:tr>
    </w:tbl>
    <w:p w14:paraId="5D569D8D" w14:textId="77777777" w:rsidR="000C1E8A" w:rsidRPr="00892AC5" w:rsidRDefault="000C1E8A" w:rsidP="000C1E8A">
      <w:pPr>
        <w:pStyle w:val="Default"/>
        <w:rPr>
          <w:rFonts w:ascii="Calibri" w:hAnsi="Calibri" w:cs="Calibri"/>
          <w:sz w:val="22"/>
          <w:szCs w:val="22"/>
        </w:rPr>
      </w:pPr>
    </w:p>
    <w:p w14:paraId="06B6C051" w14:textId="06D931AD" w:rsidR="000C1E8A" w:rsidRPr="00892AC5" w:rsidRDefault="000C1E8A" w:rsidP="00A37460">
      <w:pPr>
        <w:pStyle w:val="000"/>
        <w:rPr>
          <w:rFonts w:ascii="Calibri" w:hAnsi="Calibri" w:cs="Calibri"/>
          <w:szCs w:val="22"/>
        </w:rPr>
      </w:pPr>
      <w:r w:rsidRPr="00892AC5">
        <w:rPr>
          <w:rFonts w:ascii="Calibri" w:hAnsi="Calibri" w:cs="Calibri"/>
          <w:szCs w:val="22"/>
        </w:rPr>
        <w:t xml:space="preserve">1.1 </w:t>
      </w:r>
      <w:r w:rsidR="00A37460">
        <w:rPr>
          <w:rFonts w:ascii="Calibri" w:hAnsi="Calibri" w:cs="Calibri"/>
          <w:szCs w:val="22"/>
        </w:rPr>
        <w:tab/>
      </w:r>
      <w:r w:rsidRPr="00892AC5">
        <w:rPr>
          <w:rFonts w:ascii="Calibri" w:hAnsi="Calibri" w:cs="Calibri"/>
          <w:szCs w:val="22"/>
        </w:rPr>
        <w:t xml:space="preserve">The application for a listing of securities resulting from acquisitions, take-overs, share incentive schemes and convertible securities must contain the following: </w:t>
      </w:r>
    </w:p>
    <w:p w14:paraId="7FFD5B26" w14:textId="77777777" w:rsidR="008441C7" w:rsidRDefault="008441C7" w:rsidP="008441C7">
      <w:pPr>
        <w:pStyle w:val="a-000"/>
        <w:rPr>
          <w:rFonts w:ascii="Calibri" w:hAnsi="Calibri" w:cs="Calibri"/>
          <w:szCs w:val="22"/>
        </w:rPr>
      </w:pPr>
      <w:r>
        <w:rPr>
          <w:rFonts w:ascii="Calibri" w:hAnsi="Calibri" w:cs="Calibri"/>
          <w:szCs w:val="22"/>
        </w:rPr>
        <w:tab/>
      </w:r>
      <w:r w:rsidR="000C1E8A" w:rsidRPr="00892AC5">
        <w:rPr>
          <w:rFonts w:ascii="Calibri" w:hAnsi="Calibri" w:cs="Calibri"/>
          <w:szCs w:val="22"/>
        </w:rPr>
        <w:t>(a)</w:t>
      </w:r>
      <w:r>
        <w:rPr>
          <w:rFonts w:ascii="Calibri" w:hAnsi="Calibri" w:cs="Calibri"/>
          <w:szCs w:val="22"/>
        </w:rPr>
        <w:tab/>
      </w:r>
      <w:r w:rsidR="000C1E8A" w:rsidRPr="00892AC5">
        <w:rPr>
          <w:rFonts w:ascii="Calibri" w:hAnsi="Calibri" w:cs="Calibri"/>
          <w:szCs w:val="22"/>
        </w:rPr>
        <w:t xml:space="preserve">a description of and the number of securities for which a listing is applied and the date of </w:t>
      </w:r>
      <w:proofErr w:type="gramStart"/>
      <w:r w:rsidR="000C1E8A" w:rsidRPr="00892AC5">
        <w:rPr>
          <w:rFonts w:ascii="Calibri" w:hAnsi="Calibri" w:cs="Calibri"/>
          <w:szCs w:val="22"/>
        </w:rPr>
        <w:t>listing;</w:t>
      </w:r>
      <w:proofErr w:type="gramEnd"/>
      <w:r w:rsidR="000C1E8A" w:rsidRPr="00892AC5">
        <w:rPr>
          <w:rFonts w:ascii="Calibri" w:hAnsi="Calibri" w:cs="Calibri"/>
          <w:szCs w:val="22"/>
        </w:rPr>
        <w:t xml:space="preserve"> </w:t>
      </w:r>
    </w:p>
    <w:p w14:paraId="3C18E905" w14:textId="77777777" w:rsidR="008441C7" w:rsidRDefault="008441C7" w:rsidP="008441C7">
      <w:pPr>
        <w:pStyle w:val="a-000"/>
        <w:rPr>
          <w:rFonts w:ascii="Calibri" w:hAnsi="Calibri" w:cs="Calibri"/>
          <w:szCs w:val="22"/>
        </w:rPr>
      </w:pPr>
      <w:r>
        <w:rPr>
          <w:rFonts w:ascii="Calibri" w:hAnsi="Calibri" w:cs="Calibri"/>
          <w:szCs w:val="22"/>
        </w:rPr>
        <w:tab/>
      </w:r>
      <w:r w:rsidR="000C1E8A" w:rsidRPr="00892AC5">
        <w:rPr>
          <w:rFonts w:ascii="Calibri" w:hAnsi="Calibri" w:cs="Calibri"/>
          <w:szCs w:val="22"/>
        </w:rPr>
        <w:t>(b)</w:t>
      </w:r>
      <w:r>
        <w:rPr>
          <w:rFonts w:ascii="Calibri" w:hAnsi="Calibri" w:cs="Calibri"/>
          <w:szCs w:val="22"/>
        </w:rPr>
        <w:tab/>
      </w:r>
      <w:r w:rsidR="000C1E8A" w:rsidRPr="00892AC5">
        <w:rPr>
          <w:rFonts w:ascii="Calibri" w:hAnsi="Calibri" w:cs="Calibri"/>
          <w:szCs w:val="22"/>
        </w:rPr>
        <w:t xml:space="preserve">the reason for allotment and </w:t>
      </w:r>
      <w:proofErr w:type="gramStart"/>
      <w:r w:rsidR="000C1E8A" w:rsidRPr="00892AC5">
        <w:rPr>
          <w:rFonts w:ascii="Calibri" w:hAnsi="Calibri" w:cs="Calibri"/>
          <w:szCs w:val="22"/>
        </w:rPr>
        <w:t>issue;</w:t>
      </w:r>
      <w:proofErr w:type="gramEnd"/>
      <w:r w:rsidR="000C1E8A" w:rsidRPr="00892AC5">
        <w:rPr>
          <w:rFonts w:ascii="Calibri" w:hAnsi="Calibri" w:cs="Calibri"/>
          <w:szCs w:val="22"/>
        </w:rPr>
        <w:t xml:space="preserve"> </w:t>
      </w:r>
    </w:p>
    <w:p w14:paraId="3390BA82" w14:textId="77777777" w:rsidR="008441C7" w:rsidRDefault="008441C7" w:rsidP="008441C7">
      <w:pPr>
        <w:pStyle w:val="a-000"/>
        <w:rPr>
          <w:rFonts w:ascii="Calibri" w:hAnsi="Calibri" w:cs="Calibri"/>
          <w:szCs w:val="22"/>
        </w:rPr>
      </w:pPr>
      <w:r>
        <w:rPr>
          <w:rFonts w:ascii="Calibri" w:hAnsi="Calibri" w:cs="Calibri"/>
          <w:szCs w:val="22"/>
        </w:rPr>
        <w:tab/>
      </w:r>
      <w:r w:rsidR="000C1E8A" w:rsidRPr="00892AC5">
        <w:rPr>
          <w:rFonts w:ascii="Calibri" w:hAnsi="Calibri" w:cs="Calibri"/>
          <w:szCs w:val="22"/>
        </w:rPr>
        <w:t>(c)</w:t>
      </w:r>
      <w:r>
        <w:rPr>
          <w:rFonts w:ascii="Calibri" w:hAnsi="Calibri" w:cs="Calibri"/>
          <w:szCs w:val="22"/>
        </w:rPr>
        <w:tab/>
      </w:r>
      <w:r w:rsidR="000C1E8A" w:rsidRPr="00892AC5">
        <w:rPr>
          <w:rFonts w:ascii="Calibri" w:hAnsi="Calibri" w:cs="Calibri"/>
          <w:szCs w:val="22"/>
        </w:rPr>
        <w:t xml:space="preserve">the date of </w:t>
      </w:r>
      <w:proofErr w:type="gramStart"/>
      <w:r w:rsidR="000C1E8A" w:rsidRPr="00892AC5">
        <w:rPr>
          <w:rFonts w:ascii="Calibri" w:hAnsi="Calibri" w:cs="Calibri"/>
          <w:szCs w:val="22"/>
        </w:rPr>
        <w:t>allotment;</w:t>
      </w:r>
      <w:proofErr w:type="gramEnd"/>
      <w:r w:rsidR="000C1E8A" w:rsidRPr="00892AC5">
        <w:rPr>
          <w:rFonts w:ascii="Calibri" w:hAnsi="Calibri" w:cs="Calibri"/>
          <w:szCs w:val="22"/>
        </w:rPr>
        <w:t xml:space="preserve"> </w:t>
      </w:r>
    </w:p>
    <w:p w14:paraId="406125B9" w14:textId="77777777" w:rsidR="008441C7" w:rsidRDefault="008441C7" w:rsidP="008441C7">
      <w:pPr>
        <w:pStyle w:val="a-000"/>
        <w:rPr>
          <w:rFonts w:ascii="Calibri" w:hAnsi="Calibri" w:cs="Calibri"/>
          <w:szCs w:val="22"/>
        </w:rPr>
      </w:pPr>
      <w:r>
        <w:rPr>
          <w:rFonts w:ascii="Calibri" w:hAnsi="Calibri" w:cs="Calibri"/>
          <w:szCs w:val="22"/>
        </w:rPr>
        <w:tab/>
      </w:r>
      <w:r w:rsidR="000C1E8A" w:rsidRPr="00892AC5">
        <w:rPr>
          <w:rFonts w:ascii="Calibri" w:hAnsi="Calibri" w:cs="Calibri"/>
          <w:szCs w:val="22"/>
        </w:rPr>
        <w:t>(d)</w:t>
      </w:r>
      <w:r>
        <w:rPr>
          <w:rFonts w:ascii="Calibri" w:hAnsi="Calibri" w:cs="Calibri"/>
          <w:szCs w:val="22"/>
        </w:rPr>
        <w:tab/>
      </w:r>
      <w:r w:rsidR="000C1E8A" w:rsidRPr="00892AC5">
        <w:rPr>
          <w:rFonts w:ascii="Calibri" w:hAnsi="Calibri" w:cs="Calibri"/>
          <w:szCs w:val="22"/>
        </w:rPr>
        <w:t xml:space="preserve">the date of issue of </w:t>
      </w:r>
      <w:proofErr w:type="gramStart"/>
      <w:r w:rsidR="000C1E8A" w:rsidRPr="00892AC5">
        <w:rPr>
          <w:rFonts w:ascii="Calibri" w:hAnsi="Calibri" w:cs="Calibri"/>
          <w:szCs w:val="22"/>
        </w:rPr>
        <w:t>securities;</w:t>
      </w:r>
      <w:proofErr w:type="gramEnd"/>
      <w:r w:rsidR="000C1E8A" w:rsidRPr="00892AC5">
        <w:rPr>
          <w:rFonts w:ascii="Calibri" w:hAnsi="Calibri" w:cs="Calibri"/>
          <w:szCs w:val="22"/>
        </w:rPr>
        <w:t xml:space="preserve"> </w:t>
      </w:r>
    </w:p>
    <w:p w14:paraId="2D9C279F" w14:textId="77777777" w:rsidR="008441C7" w:rsidRDefault="008441C7" w:rsidP="008441C7">
      <w:pPr>
        <w:pStyle w:val="a-000"/>
        <w:rPr>
          <w:rFonts w:ascii="Calibri" w:hAnsi="Calibri" w:cs="Calibri"/>
          <w:szCs w:val="22"/>
        </w:rPr>
      </w:pPr>
      <w:r>
        <w:rPr>
          <w:rFonts w:ascii="Calibri" w:hAnsi="Calibri" w:cs="Calibri"/>
          <w:szCs w:val="22"/>
        </w:rPr>
        <w:tab/>
      </w:r>
      <w:r w:rsidR="000C1E8A" w:rsidRPr="00892AC5">
        <w:rPr>
          <w:rFonts w:ascii="Calibri" w:hAnsi="Calibri" w:cs="Calibri"/>
          <w:szCs w:val="22"/>
        </w:rPr>
        <w:t>(e)</w:t>
      </w:r>
      <w:r>
        <w:rPr>
          <w:rFonts w:ascii="Calibri" w:hAnsi="Calibri" w:cs="Calibri"/>
          <w:szCs w:val="22"/>
        </w:rPr>
        <w:tab/>
      </w:r>
      <w:r w:rsidR="000C1E8A" w:rsidRPr="00892AC5">
        <w:rPr>
          <w:rFonts w:ascii="Calibri" w:hAnsi="Calibri" w:cs="Calibri"/>
          <w:szCs w:val="22"/>
        </w:rPr>
        <w:t xml:space="preserve">a statement that when the securities are issued and listed, they will rank </w:t>
      </w:r>
      <w:proofErr w:type="spellStart"/>
      <w:r w:rsidR="000C1E8A" w:rsidRPr="00892AC5">
        <w:rPr>
          <w:rFonts w:ascii="Calibri" w:hAnsi="Calibri" w:cs="Calibri"/>
          <w:i/>
          <w:iCs/>
          <w:szCs w:val="22"/>
        </w:rPr>
        <w:t>pari</w:t>
      </w:r>
      <w:proofErr w:type="spellEnd"/>
      <w:r w:rsidR="000C1E8A" w:rsidRPr="00892AC5">
        <w:rPr>
          <w:rFonts w:ascii="Calibri" w:hAnsi="Calibri" w:cs="Calibri"/>
          <w:i/>
          <w:iCs/>
          <w:szCs w:val="22"/>
        </w:rPr>
        <w:t xml:space="preserve"> passu </w:t>
      </w:r>
      <w:r w:rsidR="000C1E8A" w:rsidRPr="00892AC5">
        <w:rPr>
          <w:rFonts w:ascii="Calibri" w:hAnsi="Calibri" w:cs="Calibri"/>
          <w:szCs w:val="22"/>
        </w:rPr>
        <w:t xml:space="preserve">in all respects with existing issued and listed securities of the same </w:t>
      </w:r>
      <w:proofErr w:type="gramStart"/>
      <w:r w:rsidR="000C1E8A" w:rsidRPr="00892AC5">
        <w:rPr>
          <w:rFonts w:ascii="Calibri" w:hAnsi="Calibri" w:cs="Calibri"/>
          <w:szCs w:val="22"/>
        </w:rPr>
        <w:t>class;</w:t>
      </w:r>
      <w:proofErr w:type="gramEnd"/>
      <w:r w:rsidR="000C1E8A" w:rsidRPr="00892AC5">
        <w:rPr>
          <w:rFonts w:ascii="Calibri" w:hAnsi="Calibri" w:cs="Calibri"/>
          <w:szCs w:val="22"/>
        </w:rPr>
        <w:t xml:space="preserve"> </w:t>
      </w:r>
    </w:p>
    <w:p w14:paraId="312DA956" w14:textId="77777777" w:rsidR="008441C7" w:rsidRDefault="008441C7" w:rsidP="008441C7">
      <w:pPr>
        <w:pStyle w:val="a-000"/>
        <w:rPr>
          <w:rFonts w:ascii="Calibri" w:hAnsi="Calibri" w:cs="Calibri"/>
          <w:szCs w:val="22"/>
        </w:rPr>
      </w:pPr>
      <w:r>
        <w:rPr>
          <w:rFonts w:ascii="Calibri" w:hAnsi="Calibri" w:cs="Calibri"/>
          <w:szCs w:val="22"/>
        </w:rPr>
        <w:tab/>
      </w:r>
      <w:r w:rsidR="000C1E8A" w:rsidRPr="00892AC5">
        <w:rPr>
          <w:rFonts w:ascii="Calibri" w:hAnsi="Calibri" w:cs="Calibri"/>
          <w:szCs w:val="22"/>
        </w:rPr>
        <w:t>(f)</w:t>
      </w:r>
      <w:r>
        <w:rPr>
          <w:rFonts w:ascii="Calibri" w:hAnsi="Calibri" w:cs="Calibri"/>
          <w:szCs w:val="22"/>
        </w:rPr>
        <w:tab/>
      </w:r>
      <w:r w:rsidR="000C1E8A" w:rsidRPr="00892AC5">
        <w:rPr>
          <w:rFonts w:ascii="Calibri" w:hAnsi="Calibri" w:cs="Calibri"/>
          <w:szCs w:val="22"/>
        </w:rPr>
        <w:t xml:space="preserve">the applicant’s present authorised and issued </w:t>
      </w:r>
      <w:proofErr w:type="gramStart"/>
      <w:r w:rsidR="000C1E8A" w:rsidRPr="00892AC5">
        <w:rPr>
          <w:rFonts w:ascii="Calibri" w:hAnsi="Calibri" w:cs="Calibri"/>
          <w:szCs w:val="22"/>
        </w:rPr>
        <w:t>capital;</w:t>
      </w:r>
      <w:proofErr w:type="gramEnd"/>
      <w:r w:rsidR="000C1E8A" w:rsidRPr="00892AC5">
        <w:rPr>
          <w:rFonts w:ascii="Calibri" w:hAnsi="Calibri" w:cs="Calibri"/>
          <w:szCs w:val="22"/>
        </w:rPr>
        <w:t xml:space="preserve"> </w:t>
      </w:r>
    </w:p>
    <w:p w14:paraId="5008835F" w14:textId="77777777" w:rsidR="008441C7" w:rsidRDefault="008441C7" w:rsidP="008441C7">
      <w:pPr>
        <w:pStyle w:val="a-000"/>
        <w:rPr>
          <w:rFonts w:ascii="Calibri" w:hAnsi="Calibri" w:cs="Calibri"/>
          <w:szCs w:val="22"/>
        </w:rPr>
      </w:pPr>
      <w:r>
        <w:rPr>
          <w:rFonts w:ascii="Calibri" w:hAnsi="Calibri" w:cs="Calibri"/>
          <w:szCs w:val="22"/>
        </w:rPr>
        <w:tab/>
      </w:r>
      <w:r w:rsidR="000C1E8A" w:rsidRPr="00892AC5">
        <w:rPr>
          <w:rFonts w:ascii="Calibri" w:hAnsi="Calibri" w:cs="Calibri"/>
          <w:szCs w:val="22"/>
        </w:rPr>
        <w:t>(g)</w:t>
      </w:r>
      <w:r>
        <w:rPr>
          <w:rFonts w:ascii="Calibri" w:hAnsi="Calibri" w:cs="Calibri"/>
          <w:szCs w:val="22"/>
        </w:rPr>
        <w:tab/>
      </w:r>
      <w:r w:rsidR="000C1E8A" w:rsidRPr="00892AC5">
        <w:rPr>
          <w:rFonts w:ascii="Calibri" w:hAnsi="Calibri" w:cs="Calibri"/>
          <w:szCs w:val="22"/>
        </w:rPr>
        <w:t xml:space="preserve">the issued capital after the issue of the securities that are subject of the </w:t>
      </w:r>
      <w:proofErr w:type="gramStart"/>
      <w:r w:rsidR="000C1E8A" w:rsidRPr="00892AC5">
        <w:rPr>
          <w:rFonts w:ascii="Calibri" w:hAnsi="Calibri" w:cs="Calibri"/>
          <w:szCs w:val="22"/>
        </w:rPr>
        <w:t>application;</w:t>
      </w:r>
      <w:proofErr w:type="gramEnd"/>
      <w:r w:rsidR="000C1E8A" w:rsidRPr="00892AC5">
        <w:rPr>
          <w:rFonts w:ascii="Calibri" w:hAnsi="Calibri" w:cs="Calibri"/>
          <w:szCs w:val="22"/>
        </w:rPr>
        <w:t xml:space="preserve"> </w:t>
      </w:r>
    </w:p>
    <w:p w14:paraId="48F1C32E" w14:textId="77777777" w:rsidR="008441C7" w:rsidRDefault="008441C7" w:rsidP="008441C7">
      <w:pPr>
        <w:pStyle w:val="a-000"/>
        <w:rPr>
          <w:rFonts w:ascii="Calibri" w:hAnsi="Calibri" w:cs="Calibri"/>
          <w:szCs w:val="22"/>
        </w:rPr>
      </w:pPr>
      <w:r>
        <w:rPr>
          <w:rFonts w:ascii="Calibri" w:hAnsi="Calibri" w:cs="Calibri"/>
          <w:szCs w:val="22"/>
        </w:rPr>
        <w:tab/>
      </w:r>
      <w:r w:rsidR="000C1E8A" w:rsidRPr="00892AC5">
        <w:rPr>
          <w:rFonts w:ascii="Calibri" w:hAnsi="Calibri" w:cs="Calibri"/>
          <w:szCs w:val="22"/>
        </w:rPr>
        <w:t>(h)</w:t>
      </w:r>
      <w:r>
        <w:rPr>
          <w:rFonts w:ascii="Calibri" w:hAnsi="Calibri" w:cs="Calibri"/>
          <w:szCs w:val="22"/>
        </w:rPr>
        <w:tab/>
      </w:r>
      <w:r w:rsidR="000C1E8A" w:rsidRPr="00892AC5">
        <w:rPr>
          <w:rFonts w:ascii="Calibri" w:hAnsi="Calibri" w:cs="Calibri"/>
          <w:szCs w:val="22"/>
        </w:rPr>
        <w:t xml:space="preserve">confirmation that, in respect of an acquisition of assets, the assets have been transferred into the name of the applicant or will be upon issue of the securities or other means of consideration </w:t>
      </w:r>
      <w:proofErr w:type="gramStart"/>
      <w:r w:rsidR="000C1E8A" w:rsidRPr="00892AC5">
        <w:rPr>
          <w:rFonts w:ascii="Calibri" w:hAnsi="Calibri" w:cs="Calibri"/>
          <w:szCs w:val="22"/>
        </w:rPr>
        <w:t>settlement;</w:t>
      </w:r>
      <w:proofErr w:type="gramEnd"/>
      <w:r w:rsidR="000C1E8A" w:rsidRPr="00892AC5">
        <w:rPr>
          <w:rFonts w:ascii="Calibri" w:hAnsi="Calibri" w:cs="Calibri"/>
          <w:szCs w:val="22"/>
        </w:rPr>
        <w:t xml:space="preserve"> </w:t>
      </w:r>
    </w:p>
    <w:p w14:paraId="59B4E1E8" w14:textId="213F3D65" w:rsidR="000C1E8A" w:rsidRPr="00892AC5" w:rsidRDefault="008441C7" w:rsidP="008441C7">
      <w:pPr>
        <w:pStyle w:val="a-000"/>
        <w:rPr>
          <w:rFonts w:ascii="Calibri" w:hAnsi="Calibri" w:cs="Calibri"/>
          <w:szCs w:val="22"/>
        </w:rPr>
      </w:pPr>
      <w:r>
        <w:rPr>
          <w:rFonts w:ascii="Calibri" w:hAnsi="Calibri" w:cs="Calibri"/>
          <w:szCs w:val="22"/>
        </w:rPr>
        <w:tab/>
      </w:r>
      <w:r>
        <w:rPr>
          <w:rFonts w:ascii="Calibri" w:hAnsi="Calibri" w:cs="Calibri"/>
          <w:szCs w:val="22"/>
        </w:rPr>
        <w:tab/>
      </w:r>
      <w:r w:rsidR="000C1E8A" w:rsidRPr="00892AC5">
        <w:rPr>
          <w:rFonts w:ascii="Calibri" w:hAnsi="Calibri" w:cs="Calibri"/>
          <w:szCs w:val="22"/>
        </w:rPr>
        <w:t xml:space="preserve">(i) </w:t>
      </w:r>
      <w:proofErr w:type="gramStart"/>
      <w:r w:rsidR="000C1E8A" w:rsidRPr="00892AC5">
        <w:rPr>
          <w:rFonts w:ascii="Calibri" w:hAnsi="Calibri" w:cs="Calibri"/>
          <w:szCs w:val="22"/>
        </w:rPr>
        <w:t>with regard to</w:t>
      </w:r>
      <w:proofErr w:type="gramEnd"/>
      <w:r w:rsidR="000C1E8A" w:rsidRPr="00892AC5">
        <w:rPr>
          <w:rFonts w:ascii="Calibri" w:hAnsi="Calibri" w:cs="Calibri"/>
          <w:szCs w:val="22"/>
        </w:rPr>
        <w:t xml:space="preserve"> shares that are being issued in respect of the achievement of a profit warranty, reference to the date and medium (e.g. publication or in the annual financial statements) in which the details of the transaction were </w:t>
      </w:r>
      <w:proofErr w:type="gramStart"/>
      <w:r w:rsidR="000C1E8A" w:rsidRPr="00892AC5">
        <w:rPr>
          <w:rFonts w:ascii="Calibri" w:hAnsi="Calibri" w:cs="Calibri"/>
          <w:szCs w:val="22"/>
        </w:rPr>
        <w:t>announced;</w:t>
      </w:r>
      <w:proofErr w:type="gramEnd"/>
      <w:r w:rsidR="000C1E8A" w:rsidRPr="00892AC5">
        <w:rPr>
          <w:rFonts w:ascii="Calibri" w:hAnsi="Calibri" w:cs="Calibri"/>
          <w:szCs w:val="22"/>
        </w:rPr>
        <w:t xml:space="preserve"> </w:t>
      </w:r>
    </w:p>
    <w:p w14:paraId="0B4B6E01" w14:textId="2D61CCFD" w:rsidR="000C1E8A" w:rsidRPr="00892AC5" w:rsidRDefault="008441C7" w:rsidP="008441C7">
      <w:pPr>
        <w:pStyle w:val="a-000"/>
        <w:rPr>
          <w:rFonts w:ascii="Calibri" w:hAnsi="Calibri" w:cs="Calibri"/>
          <w:szCs w:val="22"/>
        </w:rPr>
      </w:pPr>
      <w:r>
        <w:rPr>
          <w:rFonts w:ascii="Calibri" w:hAnsi="Calibri" w:cs="Calibri"/>
          <w:szCs w:val="22"/>
        </w:rPr>
        <w:tab/>
      </w:r>
      <w:r w:rsidR="000C1E8A" w:rsidRPr="00892AC5">
        <w:rPr>
          <w:rFonts w:ascii="Calibri" w:hAnsi="Calibri" w:cs="Calibri"/>
          <w:szCs w:val="22"/>
        </w:rPr>
        <w:t>(j)</w:t>
      </w:r>
      <w:r>
        <w:rPr>
          <w:rFonts w:ascii="Calibri" w:hAnsi="Calibri" w:cs="Calibri"/>
          <w:szCs w:val="22"/>
        </w:rPr>
        <w:tab/>
      </w:r>
      <w:r w:rsidR="000C1E8A" w:rsidRPr="00892AC5">
        <w:rPr>
          <w:rFonts w:ascii="Calibri" w:hAnsi="Calibri" w:cs="Calibri"/>
          <w:szCs w:val="22"/>
        </w:rPr>
        <w:t xml:space="preserve"> where the application relates to a vendor consideration placing, </w:t>
      </w:r>
    </w:p>
    <w:p w14:paraId="67C7E557" w14:textId="2F9B66EB" w:rsidR="000C1E8A" w:rsidRPr="00892AC5" w:rsidRDefault="008441C7" w:rsidP="008441C7">
      <w:pPr>
        <w:pStyle w:val="a-000"/>
        <w:rPr>
          <w:rFonts w:ascii="Calibri" w:hAnsi="Calibri" w:cs="Calibri"/>
          <w:szCs w:val="22"/>
        </w:rPr>
      </w:pPr>
      <w:r>
        <w:rPr>
          <w:rFonts w:ascii="Calibri" w:hAnsi="Calibri" w:cs="Calibri"/>
          <w:szCs w:val="22"/>
        </w:rPr>
        <w:tab/>
      </w:r>
      <w:r>
        <w:rPr>
          <w:rFonts w:ascii="Calibri" w:hAnsi="Calibri" w:cs="Calibri"/>
          <w:szCs w:val="22"/>
        </w:rPr>
        <w:tab/>
      </w:r>
      <w:r w:rsidR="000C1E8A" w:rsidRPr="00892AC5">
        <w:rPr>
          <w:rFonts w:ascii="Calibri" w:hAnsi="Calibri" w:cs="Calibri"/>
          <w:szCs w:val="22"/>
        </w:rPr>
        <w:t xml:space="preserve">(i) confirmation that the issuer has complied with paragraph 5.62; and </w:t>
      </w:r>
    </w:p>
    <w:p w14:paraId="7AB637A8" w14:textId="77777777" w:rsidR="000C1E8A" w:rsidRPr="00892AC5" w:rsidRDefault="000C1E8A" w:rsidP="008441C7">
      <w:pPr>
        <w:pStyle w:val="Default"/>
        <w:ind w:left="1304" w:firstLine="136"/>
        <w:rPr>
          <w:rFonts w:ascii="Calibri" w:hAnsi="Calibri" w:cs="Calibri"/>
          <w:sz w:val="22"/>
          <w:szCs w:val="22"/>
        </w:rPr>
      </w:pPr>
      <w:r w:rsidRPr="00892AC5">
        <w:rPr>
          <w:rFonts w:ascii="Calibri" w:hAnsi="Calibri" w:cs="Calibri"/>
          <w:sz w:val="22"/>
          <w:szCs w:val="22"/>
        </w:rPr>
        <w:t xml:space="preserve">(ii) in relation to (h) above and to the extent that the asset/s involve property (as defined in Section 13) which is/are the subject of the vendor consideration placing has/have not yet been transferred into the name of the applicant, the board of directors of the applicant must confirm in writing to the sponsor and JSE that the acquisition/s has/have been secured in favour of the applicant by written agreement/s and, to the best of their knowledge and belief, the board of the applicant is not aware of any circumstances that may lead to the asset/s not being transferred into the name of the applicant in accordance with the terms of the acquisition agreement/s; </w:t>
      </w:r>
    </w:p>
    <w:p w14:paraId="0456D9E3" w14:textId="77777777" w:rsidR="008441C7" w:rsidRDefault="008441C7" w:rsidP="008441C7">
      <w:pPr>
        <w:pStyle w:val="a-000"/>
        <w:rPr>
          <w:rFonts w:ascii="Calibri" w:hAnsi="Calibri" w:cs="Calibri"/>
          <w:szCs w:val="22"/>
        </w:rPr>
      </w:pPr>
      <w:r>
        <w:rPr>
          <w:rFonts w:ascii="Calibri" w:hAnsi="Calibri" w:cs="Calibri"/>
          <w:szCs w:val="22"/>
        </w:rPr>
        <w:tab/>
      </w:r>
      <w:r w:rsidR="000C1E8A" w:rsidRPr="00892AC5">
        <w:rPr>
          <w:rFonts w:ascii="Calibri" w:hAnsi="Calibri" w:cs="Calibri"/>
          <w:szCs w:val="22"/>
        </w:rPr>
        <w:t>(k)</w:t>
      </w:r>
      <w:r>
        <w:rPr>
          <w:rFonts w:ascii="Calibri" w:hAnsi="Calibri" w:cs="Calibri"/>
          <w:szCs w:val="22"/>
        </w:rPr>
        <w:tab/>
      </w:r>
      <w:r w:rsidR="000C1E8A" w:rsidRPr="00892AC5">
        <w:rPr>
          <w:rFonts w:ascii="Calibri" w:hAnsi="Calibri" w:cs="Calibri"/>
          <w:szCs w:val="22"/>
        </w:rPr>
        <w:t xml:space="preserve">the issue price of the securities; and </w:t>
      </w:r>
    </w:p>
    <w:p w14:paraId="0C372CFF" w14:textId="572919BB" w:rsidR="000C1E8A" w:rsidRPr="00892AC5" w:rsidRDefault="008441C7" w:rsidP="008441C7">
      <w:pPr>
        <w:pStyle w:val="a-000"/>
        <w:ind w:left="0" w:firstLine="0"/>
        <w:rPr>
          <w:rFonts w:ascii="Calibri" w:hAnsi="Calibri" w:cs="Calibri"/>
          <w:szCs w:val="22"/>
        </w:rPr>
      </w:pPr>
      <w:r>
        <w:rPr>
          <w:rFonts w:ascii="Calibri" w:hAnsi="Calibri" w:cs="Calibri"/>
          <w:szCs w:val="22"/>
        </w:rPr>
        <w:tab/>
      </w:r>
      <w:r w:rsidR="000C1E8A" w:rsidRPr="00892AC5">
        <w:rPr>
          <w:rFonts w:ascii="Calibri" w:hAnsi="Calibri" w:cs="Calibri"/>
          <w:szCs w:val="22"/>
        </w:rPr>
        <w:t>(l)</w:t>
      </w:r>
      <w:r>
        <w:rPr>
          <w:rFonts w:ascii="Calibri" w:hAnsi="Calibri" w:cs="Calibri"/>
          <w:szCs w:val="22"/>
        </w:rPr>
        <w:tab/>
      </w:r>
      <w:r w:rsidR="000C1E8A" w:rsidRPr="00892AC5">
        <w:rPr>
          <w:rFonts w:ascii="Calibri" w:hAnsi="Calibri" w:cs="Calibri"/>
          <w:szCs w:val="22"/>
        </w:rPr>
        <w:t xml:space="preserve">the number of treasury shares held. </w:t>
      </w:r>
    </w:p>
    <w:p w14:paraId="5F6E4D2A" w14:textId="77777777" w:rsidR="000C1E8A" w:rsidRPr="00892AC5" w:rsidRDefault="000C1E8A" w:rsidP="000C1E8A">
      <w:pPr>
        <w:pStyle w:val="Default"/>
        <w:rPr>
          <w:rFonts w:ascii="Calibri" w:hAnsi="Calibri" w:cs="Calibri"/>
          <w:sz w:val="22"/>
          <w:szCs w:val="22"/>
        </w:rPr>
      </w:pPr>
    </w:p>
    <w:p w14:paraId="41661FF7" w14:textId="3FB28553" w:rsidR="000C1E8A" w:rsidRPr="00892AC5" w:rsidRDefault="000C1E8A" w:rsidP="00A37460">
      <w:pPr>
        <w:pStyle w:val="000"/>
        <w:rPr>
          <w:rFonts w:ascii="Calibri" w:hAnsi="Calibri" w:cs="Calibri"/>
          <w:szCs w:val="22"/>
        </w:rPr>
      </w:pPr>
      <w:r w:rsidRPr="00892AC5">
        <w:rPr>
          <w:rFonts w:ascii="Calibri" w:hAnsi="Calibri" w:cs="Calibri"/>
          <w:szCs w:val="22"/>
        </w:rPr>
        <w:t xml:space="preserve">1.2 </w:t>
      </w:r>
      <w:r w:rsidR="00A37460">
        <w:rPr>
          <w:rFonts w:ascii="Calibri" w:hAnsi="Calibri" w:cs="Calibri"/>
          <w:szCs w:val="22"/>
        </w:rPr>
        <w:tab/>
      </w:r>
      <w:r w:rsidRPr="00892AC5">
        <w:rPr>
          <w:rFonts w:ascii="Calibri" w:hAnsi="Calibri" w:cs="Calibri"/>
          <w:szCs w:val="22"/>
        </w:rPr>
        <w:t xml:space="preserve">The application must be signed by the company secretary and a director, or equivalent, of the applicant and by the sponsor. </w:t>
      </w:r>
    </w:p>
    <w:p w14:paraId="3FF1ABCD" w14:textId="77777777" w:rsidR="000C1E8A" w:rsidRPr="00892AC5" w:rsidRDefault="000C1E8A" w:rsidP="000C1E8A">
      <w:pPr>
        <w:pStyle w:val="Default"/>
        <w:rPr>
          <w:rFonts w:ascii="Calibri" w:hAnsi="Calibri" w:cs="Calibri"/>
          <w:sz w:val="22"/>
          <w:szCs w:val="22"/>
        </w:rPr>
      </w:pPr>
    </w:p>
    <w:p w14:paraId="33C04532" w14:textId="7CE95F41" w:rsidR="000C1E8A" w:rsidRPr="00892AC5" w:rsidRDefault="000C1E8A" w:rsidP="00A37460">
      <w:pPr>
        <w:pStyle w:val="000"/>
        <w:rPr>
          <w:rFonts w:ascii="Calibri" w:hAnsi="Calibri" w:cs="Calibri"/>
          <w:szCs w:val="22"/>
        </w:rPr>
      </w:pPr>
      <w:r w:rsidRPr="00892AC5">
        <w:rPr>
          <w:rFonts w:ascii="Calibri" w:hAnsi="Calibri" w:cs="Calibri"/>
          <w:szCs w:val="22"/>
        </w:rPr>
        <w:t xml:space="preserve">1.3 </w:t>
      </w:r>
      <w:r w:rsidR="00A37460">
        <w:rPr>
          <w:rFonts w:ascii="Calibri" w:hAnsi="Calibri" w:cs="Calibri"/>
          <w:szCs w:val="22"/>
        </w:rPr>
        <w:tab/>
      </w:r>
      <w:r w:rsidRPr="00892AC5">
        <w:rPr>
          <w:rFonts w:ascii="Calibri" w:hAnsi="Calibri" w:cs="Calibri"/>
          <w:szCs w:val="22"/>
        </w:rPr>
        <w:t xml:space="preserve">The application must be accompanied by a resolution of the board of directors, or equivalent, of the applicant authorising the application for a listing together with the relevant listing fee. </w:t>
      </w:r>
    </w:p>
    <w:p w14:paraId="259A271E" w14:textId="77777777" w:rsidR="000C1E8A" w:rsidRPr="00892AC5" w:rsidRDefault="000C1E8A" w:rsidP="000C1E8A">
      <w:pPr>
        <w:pStyle w:val="Default"/>
        <w:rPr>
          <w:rFonts w:ascii="Calibri" w:hAnsi="Calibri" w:cs="Calibri"/>
          <w:sz w:val="22"/>
          <w:szCs w:val="22"/>
        </w:rPr>
      </w:pPr>
    </w:p>
    <w:p w14:paraId="722B7091" w14:textId="1292E41B" w:rsidR="000C1E8A" w:rsidRPr="00892AC5" w:rsidRDefault="000C1E8A" w:rsidP="00A37460">
      <w:pPr>
        <w:pStyle w:val="000"/>
        <w:rPr>
          <w:rFonts w:ascii="Calibri" w:hAnsi="Calibri" w:cs="Calibri"/>
          <w:szCs w:val="22"/>
        </w:rPr>
      </w:pPr>
      <w:r w:rsidRPr="00892AC5">
        <w:rPr>
          <w:rFonts w:ascii="Calibri" w:hAnsi="Calibri" w:cs="Calibri"/>
          <w:szCs w:val="22"/>
        </w:rPr>
        <w:t xml:space="preserve">1.4 </w:t>
      </w:r>
      <w:r w:rsidR="00A37460">
        <w:rPr>
          <w:rFonts w:ascii="Calibri" w:hAnsi="Calibri" w:cs="Calibri"/>
          <w:szCs w:val="22"/>
        </w:rPr>
        <w:tab/>
      </w:r>
      <w:r w:rsidRPr="00892AC5">
        <w:rPr>
          <w:rFonts w:ascii="Calibri" w:hAnsi="Calibri" w:cs="Calibri"/>
          <w:szCs w:val="22"/>
        </w:rPr>
        <w:t xml:space="preserve">An application for share incentive scheme shares must include a statement confirming whether the scheme has been approved by the JSE and shareholders and, if it is utilising a </w:t>
      </w:r>
      <w:r w:rsidRPr="00892AC5">
        <w:rPr>
          <w:rFonts w:ascii="Calibri" w:hAnsi="Calibri" w:cs="Calibri"/>
          <w:szCs w:val="22"/>
        </w:rPr>
        <w:lastRenderedPageBreak/>
        <w:t xml:space="preserve">previously approved block listing, the balance of shares in issue and the balance of the block listing (Rand value) before and after the block listing. The application for block listing should also include the previous application letter submitted by the issuer to the JSE. </w:t>
      </w:r>
    </w:p>
    <w:p w14:paraId="6E23A051" w14:textId="77777777" w:rsidR="000C1E8A" w:rsidRPr="00892AC5" w:rsidRDefault="000C1E8A" w:rsidP="000C1E8A">
      <w:pPr>
        <w:pStyle w:val="Default"/>
        <w:rPr>
          <w:rFonts w:ascii="Calibri" w:hAnsi="Calibri" w:cs="Calibri"/>
          <w:sz w:val="22"/>
          <w:szCs w:val="22"/>
        </w:rPr>
      </w:pPr>
    </w:p>
    <w:p w14:paraId="078A6FFA" w14:textId="7BF66D58" w:rsidR="000C1E8A" w:rsidRPr="00892AC5" w:rsidRDefault="000C1E8A" w:rsidP="00A37460">
      <w:pPr>
        <w:pStyle w:val="000"/>
        <w:rPr>
          <w:rFonts w:ascii="Calibri" w:hAnsi="Calibri" w:cs="Calibri"/>
          <w:szCs w:val="22"/>
        </w:rPr>
      </w:pPr>
      <w:r w:rsidRPr="00892AC5">
        <w:rPr>
          <w:rFonts w:ascii="Calibri" w:hAnsi="Calibri" w:cs="Calibri"/>
          <w:szCs w:val="22"/>
        </w:rPr>
        <w:t xml:space="preserve">1.5 </w:t>
      </w:r>
      <w:r w:rsidR="00A37460">
        <w:rPr>
          <w:rFonts w:ascii="Calibri" w:hAnsi="Calibri" w:cs="Calibri"/>
          <w:szCs w:val="22"/>
        </w:rPr>
        <w:tab/>
      </w:r>
      <w:r w:rsidRPr="00892AC5">
        <w:rPr>
          <w:rFonts w:ascii="Calibri" w:hAnsi="Calibri" w:cs="Calibri"/>
          <w:szCs w:val="22"/>
        </w:rPr>
        <w:t xml:space="preserve">Where application is made to the JSE to list securities which are the subject of a profit warranty, a letter submitted by the issuer’s auditor confirming that the conditions required for the shares to be allotted and issued have been met, is to be submitted to the JSE together with a reconciliation between the number of securities for which application is being made and the terms of the profit warranty. </w:t>
      </w:r>
    </w:p>
    <w:p w14:paraId="53E7DC60" w14:textId="77777777" w:rsidR="000C1E8A" w:rsidRPr="00892AC5" w:rsidRDefault="000C1E8A" w:rsidP="000C1E8A">
      <w:pPr>
        <w:rPr>
          <w:rFonts w:ascii="Calibri" w:hAnsi="Calibri" w:cs="Calibri"/>
        </w:rPr>
      </w:pPr>
    </w:p>
    <w:p w14:paraId="563A980C" w14:textId="55454D63" w:rsidR="00DB0FDB" w:rsidRPr="00892AC5" w:rsidRDefault="000C1E8A" w:rsidP="00A37460">
      <w:pPr>
        <w:pStyle w:val="000"/>
        <w:rPr>
          <w:rFonts w:ascii="Calibri" w:hAnsi="Calibri" w:cs="Calibri"/>
          <w:szCs w:val="22"/>
        </w:rPr>
      </w:pPr>
      <w:r w:rsidRPr="00892AC5">
        <w:rPr>
          <w:rFonts w:ascii="Calibri" w:hAnsi="Calibri" w:cs="Calibri"/>
          <w:szCs w:val="22"/>
        </w:rPr>
        <w:t xml:space="preserve">1.6 </w:t>
      </w:r>
      <w:r w:rsidR="00A37460">
        <w:rPr>
          <w:rFonts w:ascii="Calibri" w:hAnsi="Calibri" w:cs="Calibri"/>
          <w:szCs w:val="22"/>
        </w:rPr>
        <w:tab/>
      </w:r>
      <w:r w:rsidRPr="00892AC5">
        <w:rPr>
          <w:rFonts w:ascii="Calibri" w:hAnsi="Calibri" w:cs="Calibri"/>
          <w:szCs w:val="22"/>
        </w:rPr>
        <w:t>The application must be accompanied by the relevant agreements.</w:t>
      </w:r>
    </w:p>
    <w:sectPr w:rsidR="00DB0FDB" w:rsidRPr="00892A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E8A"/>
    <w:rsid w:val="00037EA9"/>
    <w:rsid w:val="00063375"/>
    <w:rsid w:val="00092466"/>
    <w:rsid w:val="000A0163"/>
    <w:rsid w:val="000A575E"/>
    <w:rsid w:val="000C1E8A"/>
    <w:rsid w:val="000C717A"/>
    <w:rsid w:val="000D5551"/>
    <w:rsid w:val="00166526"/>
    <w:rsid w:val="00170F61"/>
    <w:rsid w:val="001B4778"/>
    <w:rsid w:val="001C3232"/>
    <w:rsid w:val="002870AD"/>
    <w:rsid w:val="002A1509"/>
    <w:rsid w:val="00356D0C"/>
    <w:rsid w:val="003A4636"/>
    <w:rsid w:val="00410162"/>
    <w:rsid w:val="00420C50"/>
    <w:rsid w:val="00443AE7"/>
    <w:rsid w:val="004B615E"/>
    <w:rsid w:val="004B7861"/>
    <w:rsid w:val="004C11F4"/>
    <w:rsid w:val="0051546D"/>
    <w:rsid w:val="0052739B"/>
    <w:rsid w:val="005832E9"/>
    <w:rsid w:val="0060792D"/>
    <w:rsid w:val="00664B39"/>
    <w:rsid w:val="006E74F3"/>
    <w:rsid w:val="00736F10"/>
    <w:rsid w:val="007553B0"/>
    <w:rsid w:val="00766624"/>
    <w:rsid w:val="00775948"/>
    <w:rsid w:val="00791953"/>
    <w:rsid w:val="007B15D5"/>
    <w:rsid w:val="008441C7"/>
    <w:rsid w:val="0086573C"/>
    <w:rsid w:val="008671A4"/>
    <w:rsid w:val="008675D7"/>
    <w:rsid w:val="00867E23"/>
    <w:rsid w:val="00867EF9"/>
    <w:rsid w:val="00882CB2"/>
    <w:rsid w:val="00886D38"/>
    <w:rsid w:val="00892AC5"/>
    <w:rsid w:val="008F3AF9"/>
    <w:rsid w:val="00935B59"/>
    <w:rsid w:val="00953E48"/>
    <w:rsid w:val="009645DD"/>
    <w:rsid w:val="009A4BF6"/>
    <w:rsid w:val="009C5AFB"/>
    <w:rsid w:val="00A310B4"/>
    <w:rsid w:val="00A37460"/>
    <w:rsid w:val="00AA61D4"/>
    <w:rsid w:val="00B61896"/>
    <w:rsid w:val="00BA5944"/>
    <w:rsid w:val="00BB2B05"/>
    <w:rsid w:val="00BB4F64"/>
    <w:rsid w:val="00C275C5"/>
    <w:rsid w:val="00C51791"/>
    <w:rsid w:val="00CA6B46"/>
    <w:rsid w:val="00CD0185"/>
    <w:rsid w:val="00D1204F"/>
    <w:rsid w:val="00D30442"/>
    <w:rsid w:val="00D6505E"/>
    <w:rsid w:val="00D764A2"/>
    <w:rsid w:val="00DA31A7"/>
    <w:rsid w:val="00DB0FDB"/>
    <w:rsid w:val="00DE2A9B"/>
    <w:rsid w:val="00DF7973"/>
    <w:rsid w:val="00E04A9A"/>
    <w:rsid w:val="00E117DC"/>
    <w:rsid w:val="00E22A5A"/>
    <w:rsid w:val="00E30981"/>
    <w:rsid w:val="00E52272"/>
    <w:rsid w:val="00E52C4A"/>
    <w:rsid w:val="00EF5ACD"/>
    <w:rsid w:val="00F00465"/>
    <w:rsid w:val="00F37664"/>
    <w:rsid w:val="00FB25CE"/>
    <w:rsid w:val="00FB2B1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545D4"/>
  <w15:chartTrackingRefBased/>
  <w15:docId w15:val="{4E20CD2D-9FF0-4EAF-85F8-BD1F7D9CF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E8A"/>
  </w:style>
  <w:style w:type="paragraph" w:styleId="Heading1">
    <w:name w:val="heading 1"/>
    <w:basedOn w:val="Normal"/>
    <w:next w:val="Normal"/>
    <w:link w:val="Heading1Char"/>
    <w:uiPriority w:val="9"/>
    <w:qFormat/>
    <w:rsid w:val="000C1E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1E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1E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1E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1E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1E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1E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1E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1E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E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1E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1E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1E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1E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1E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1E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1E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1E8A"/>
    <w:rPr>
      <w:rFonts w:eastAsiaTheme="majorEastAsia" w:cstheme="majorBidi"/>
      <w:color w:val="272727" w:themeColor="text1" w:themeTint="D8"/>
    </w:rPr>
  </w:style>
  <w:style w:type="paragraph" w:styleId="Title">
    <w:name w:val="Title"/>
    <w:basedOn w:val="Normal"/>
    <w:next w:val="Normal"/>
    <w:link w:val="TitleChar"/>
    <w:uiPriority w:val="10"/>
    <w:qFormat/>
    <w:rsid w:val="000C1E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1E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1E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1E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1E8A"/>
    <w:pPr>
      <w:spacing w:before="160"/>
      <w:jc w:val="center"/>
    </w:pPr>
    <w:rPr>
      <w:i/>
      <w:iCs/>
      <w:color w:val="404040" w:themeColor="text1" w:themeTint="BF"/>
    </w:rPr>
  </w:style>
  <w:style w:type="character" w:customStyle="1" w:styleId="QuoteChar">
    <w:name w:val="Quote Char"/>
    <w:basedOn w:val="DefaultParagraphFont"/>
    <w:link w:val="Quote"/>
    <w:uiPriority w:val="29"/>
    <w:rsid w:val="000C1E8A"/>
    <w:rPr>
      <w:i/>
      <w:iCs/>
      <w:color w:val="404040" w:themeColor="text1" w:themeTint="BF"/>
    </w:rPr>
  </w:style>
  <w:style w:type="paragraph" w:styleId="ListParagraph">
    <w:name w:val="List Paragraph"/>
    <w:basedOn w:val="Normal"/>
    <w:uiPriority w:val="34"/>
    <w:qFormat/>
    <w:rsid w:val="000C1E8A"/>
    <w:pPr>
      <w:ind w:left="720"/>
      <w:contextualSpacing/>
    </w:pPr>
  </w:style>
  <w:style w:type="character" w:styleId="IntenseEmphasis">
    <w:name w:val="Intense Emphasis"/>
    <w:basedOn w:val="DefaultParagraphFont"/>
    <w:uiPriority w:val="21"/>
    <w:qFormat/>
    <w:rsid w:val="000C1E8A"/>
    <w:rPr>
      <w:i/>
      <w:iCs/>
      <w:color w:val="0F4761" w:themeColor="accent1" w:themeShade="BF"/>
    </w:rPr>
  </w:style>
  <w:style w:type="paragraph" w:styleId="IntenseQuote">
    <w:name w:val="Intense Quote"/>
    <w:basedOn w:val="Normal"/>
    <w:next w:val="Normal"/>
    <w:link w:val="IntenseQuoteChar"/>
    <w:uiPriority w:val="30"/>
    <w:qFormat/>
    <w:rsid w:val="000C1E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1E8A"/>
    <w:rPr>
      <w:i/>
      <w:iCs/>
      <w:color w:val="0F4761" w:themeColor="accent1" w:themeShade="BF"/>
    </w:rPr>
  </w:style>
  <w:style w:type="character" w:styleId="IntenseReference">
    <w:name w:val="Intense Reference"/>
    <w:basedOn w:val="DefaultParagraphFont"/>
    <w:uiPriority w:val="32"/>
    <w:qFormat/>
    <w:rsid w:val="000C1E8A"/>
    <w:rPr>
      <w:b/>
      <w:bCs/>
      <w:smallCaps/>
      <w:color w:val="0F4761" w:themeColor="accent1" w:themeShade="BF"/>
      <w:spacing w:val="5"/>
    </w:rPr>
  </w:style>
  <w:style w:type="paragraph" w:customStyle="1" w:styleId="Default">
    <w:name w:val="Default"/>
    <w:rsid w:val="000C1E8A"/>
    <w:pPr>
      <w:autoSpaceDE w:val="0"/>
      <w:autoSpaceDN w:val="0"/>
      <w:adjustRightInd w:val="0"/>
      <w:spacing w:after="0" w:line="240" w:lineRule="auto"/>
    </w:pPr>
    <w:rPr>
      <w:rFonts w:ascii="Times New Roman" w:hAnsi="Times New Roman" w:cs="Times New Roman"/>
      <w:color w:val="000000"/>
      <w:kern w:val="0"/>
      <w:sz w:val="24"/>
      <w:szCs w:val="24"/>
    </w:rPr>
  </w:style>
  <w:style w:type="table" w:styleId="TableGrid">
    <w:name w:val="Table Grid"/>
    <w:basedOn w:val="TableNormal"/>
    <w:uiPriority w:val="39"/>
    <w:rsid w:val="00935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00">
    <w:name w:val="(a)-0.00"/>
    <w:basedOn w:val="Normal"/>
    <w:link w:val="a-000Char"/>
    <w:rsid w:val="008441C7"/>
    <w:pPr>
      <w:widowControl w:val="0"/>
      <w:tabs>
        <w:tab w:val="left" w:pos="794"/>
        <w:tab w:val="left" w:pos="1304"/>
      </w:tabs>
      <w:spacing w:before="120" w:after="0" w:line="240" w:lineRule="auto"/>
      <w:ind w:left="1304" w:hanging="1304"/>
      <w:jc w:val="both"/>
    </w:pPr>
    <w:rPr>
      <w:rFonts w:ascii="Times New Roman" w:eastAsia="Times New Roman" w:hAnsi="Times New Roman" w:cs="Times New Roman"/>
      <w:kern w:val="0"/>
      <w:szCs w:val="20"/>
      <w:lang w:val="en-GB"/>
      <w14:ligatures w14:val="none"/>
    </w:rPr>
  </w:style>
  <w:style w:type="character" w:customStyle="1" w:styleId="a-000Char">
    <w:name w:val="(a)-0.00 Char"/>
    <w:link w:val="a-000"/>
    <w:rsid w:val="008441C7"/>
    <w:rPr>
      <w:rFonts w:ascii="Times New Roman" w:eastAsia="Times New Roman" w:hAnsi="Times New Roman" w:cs="Times New Roman"/>
      <w:kern w:val="0"/>
      <w:szCs w:val="20"/>
      <w:lang w:val="en-GB"/>
      <w14:ligatures w14:val="none"/>
    </w:rPr>
  </w:style>
  <w:style w:type="paragraph" w:customStyle="1" w:styleId="000">
    <w:name w:val="0.00"/>
    <w:basedOn w:val="Normal"/>
    <w:rsid w:val="00A37460"/>
    <w:pPr>
      <w:widowControl w:val="0"/>
      <w:tabs>
        <w:tab w:val="left" w:pos="794"/>
      </w:tabs>
      <w:spacing w:before="120" w:after="0" w:line="240" w:lineRule="auto"/>
      <w:ind w:left="794" w:hanging="794"/>
      <w:jc w:val="both"/>
    </w:pPr>
    <w:rPr>
      <w:rFonts w:ascii="Times New Roman" w:eastAsia="Times New Roman" w:hAnsi="Times New Roman" w:cs="Times New Roman"/>
      <w:kern w:val="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531</Words>
  <Characters>3026</Characters>
  <Application>Microsoft Office Word</Application>
  <DocSecurity>0</DocSecurity>
  <Lines>67</Lines>
  <Paragraphs>60</Paragraphs>
  <ScaleCrop>false</ScaleCrop>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Alwyn Fouchee</dc:creator>
  <cp:keywords/>
  <dc:description/>
  <cp:lastModifiedBy>Alwyn Fouchee</cp:lastModifiedBy>
  <cp:revision>7</cp:revision>
  <dcterms:created xsi:type="dcterms:W3CDTF">2024-07-17T15:19:00Z</dcterms:created>
  <dcterms:modified xsi:type="dcterms:W3CDTF">2025-12-08T14:18:00Z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93fc94-2a04-4870-acee-9c0cd4b7d590_Enabled">
    <vt:lpwstr>true</vt:lpwstr>
  </property>
  <property fmtid="{D5CDD505-2E9C-101B-9397-08002B2CF9AE}" pid="3" name="MSIP_Label_ce93fc94-2a04-4870-acee-9c0cd4b7d590_SetDate">
    <vt:lpwstr>2024-07-17T15:21:06Z</vt:lpwstr>
  </property>
  <property fmtid="{D5CDD505-2E9C-101B-9397-08002B2CF9AE}" pid="4" name="MSIP_Label_ce93fc94-2a04-4870-acee-9c0cd4b7d590_Method">
    <vt:lpwstr>Standard</vt:lpwstr>
  </property>
  <property fmtid="{D5CDD505-2E9C-101B-9397-08002B2CF9AE}" pid="5" name="MSIP_Label_ce93fc94-2a04-4870-acee-9c0cd4b7d590_Name">
    <vt:lpwstr>Internal</vt:lpwstr>
  </property>
  <property fmtid="{D5CDD505-2E9C-101B-9397-08002B2CF9AE}" pid="6" name="MSIP_Label_ce93fc94-2a04-4870-acee-9c0cd4b7d590_SiteId">
    <vt:lpwstr>cffa6640-7572-4f05-9c64-cd88068c19d4</vt:lpwstr>
  </property>
  <property fmtid="{D5CDD505-2E9C-101B-9397-08002B2CF9AE}" pid="7" name="MSIP_Label_ce93fc94-2a04-4870-acee-9c0cd4b7d590_ActionId">
    <vt:lpwstr>1b8b6095-9e1c-47fe-9dce-bf8e10db837c</vt:lpwstr>
  </property>
  <property fmtid="{D5CDD505-2E9C-101B-9397-08002B2CF9AE}" pid="8" name="MSIP_Label_ce93fc94-2a04-4870-acee-9c0cd4b7d590_ContentBits">
    <vt:lpwstr>0</vt:lpwstr>
  </property>
</Properties>
</file>