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C2" w:rsidRDefault="00311EC2" w:rsidP="00311EC2">
      <w:pPr>
        <w:pStyle w:val="head2"/>
        <w:jc w:val="center"/>
        <w:rPr>
          <w:szCs w:val="22"/>
        </w:rPr>
      </w:pPr>
      <w:r>
        <w:rPr>
          <w:szCs w:val="22"/>
        </w:rPr>
        <w:t>FORM E3</w:t>
      </w:r>
    </w:p>
    <w:p w:rsidR="00A16434" w:rsidRPr="00D9359B" w:rsidRDefault="00A16434" w:rsidP="00A16434">
      <w:pPr>
        <w:pStyle w:val="head2"/>
        <w:jc w:val="both"/>
        <w:rPr>
          <w:szCs w:val="22"/>
        </w:rPr>
      </w:pPr>
      <w:r w:rsidRPr="00D9359B">
        <w:rPr>
          <w:szCs w:val="22"/>
        </w:rPr>
        <w:t xml:space="preserve">IFRS adviser </w:t>
      </w:r>
      <w:r>
        <w:rPr>
          <w:szCs w:val="22"/>
        </w:rPr>
        <w:t xml:space="preserve">initial </w:t>
      </w:r>
      <w:r w:rsidRPr="00D9359B">
        <w:rPr>
          <w:szCs w:val="22"/>
        </w:rPr>
        <w:t>application and annual declaration form</w:t>
      </w:r>
      <w:bookmarkStart w:id="0" w:name="_GoBack"/>
      <w:bookmarkEnd w:id="0"/>
    </w:p>
    <w:p w:rsidR="00A16434" w:rsidRDefault="00A16434" w:rsidP="00311EC2">
      <w:pPr>
        <w:pStyle w:val="head2"/>
        <w:jc w:val="center"/>
        <w:rPr>
          <w:szCs w:val="22"/>
        </w:rPr>
      </w:pPr>
    </w:p>
    <w:p w:rsidR="006B656D" w:rsidRDefault="006B656D" w:rsidP="006B656D">
      <w:pPr>
        <w:pStyle w:val="head2"/>
        <w:spacing w:before="0" w:line="269" w:lineRule="auto"/>
        <w:jc w:val="both"/>
        <w:rPr>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1E0" w:firstRow="1" w:lastRow="1" w:firstColumn="1" w:lastColumn="1" w:noHBand="0" w:noVBand="0"/>
      </w:tblPr>
      <w:tblGrid>
        <w:gridCol w:w="7938"/>
      </w:tblGrid>
      <w:tr w:rsidR="006B656D" w:rsidRPr="00D24463" w:rsidTr="009F16AA">
        <w:trPr>
          <w:cantSplit/>
          <w:trHeight w:val="3966"/>
          <w:jc w:val="center"/>
        </w:trPr>
        <w:tc>
          <w:tcPr>
            <w:tcW w:w="7938" w:type="dxa"/>
          </w:tcPr>
          <w:p w:rsidR="006B656D" w:rsidRDefault="006B656D" w:rsidP="00DD228C">
            <w:pPr>
              <w:pStyle w:val="tabletext"/>
              <w:spacing w:before="60" w:after="60"/>
              <w:ind w:left="113" w:right="113"/>
              <w:jc w:val="both"/>
              <w:rPr>
                <w:sz w:val="22"/>
                <w:szCs w:val="22"/>
              </w:rPr>
            </w:pPr>
            <w:r w:rsidRPr="00D24463">
              <w:rPr>
                <w:sz w:val="22"/>
                <w:szCs w:val="22"/>
              </w:rPr>
              <w:t>Note</w:t>
            </w:r>
            <w:r>
              <w:rPr>
                <w:sz w:val="22"/>
                <w:szCs w:val="22"/>
              </w:rPr>
              <w:t>s:</w:t>
            </w:r>
          </w:p>
          <w:p w:rsidR="006B656D" w:rsidRDefault="006B656D" w:rsidP="006B656D">
            <w:pPr>
              <w:pStyle w:val="head2"/>
              <w:numPr>
                <w:ilvl w:val="0"/>
                <w:numId w:val="6"/>
              </w:numPr>
              <w:spacing w:before="0" w:line="269" w:lineRule="auto"/>
              <w:jc w:val="both"/>
              <w:rPr>
                <w:b w:val="0"/>
                <w:szCs w:val="22"/>
              </w:rPr>
            </w:pPr>
            <w:r>
              <w:rPr>
                <w:b w:val="0"/>
                <w:szCs w:val="22"/>
              </w:rPr>
              <w:t xml:space="preserve"> All information must be emailed to </w:t>
            </w:r>
            <w:hyperlink r:id="rId10" w:history="1">
              <w:r w:rsidR="00B57DB2" w:rsidRPr="00DC1F3D">
                <w:rPr>
                  <w:rStyle w:val="Hyperlink"/>
                  <w:b w:val="0"/>
                  <w:szCs w:val="22"/>
                </w:rPr>
                <w:t>auditoraccreditation@jse.co.za</w:t>
              </w:r>
            </w:hyperlink>
          </w:p>
          <w:p w:rsidR="006B656D" w:rsidRPr="009F16AA" w:rsidRDefault="006B656D" w:rsidP="009F16AA">
            <w:pPr>
              <w:pStyle w:val="a-000"/>
              <w:numPr>
                <w:ilvl w:val="0"/>
                <w:numId w:val="6"/>
              </w:numPr>
              <w:tabs>
                <w:tab w:val="clear" w:pos="794"/>
                <w:tab w:val="clear" w:pos="1304"/>
              </w:tabs>
              <w:spacing w:before="0" w:line="269" w:lineRule="auto"/>
              <w:ind w:right="144"/>
              <w:rPr>
                <w:rFonts w:eastAsia="Times"/>
              </w:rPr>
            </w:pPr>
            <w:r w:rsidRPr="00253F83">
              <w:rPr>
                <w:szCs w:val="22"/>
              </w:rPr>
              <w:t xml:space="preserve">Incomplete submissions will be rejected and the review process will only commence once all the necessary information has been </w:t>
            </w:r>
            <w:r w:rsidRPr="006B656D">
              <w:rPr>
                <w:szCs w:val="22"/>
              </w:rPr>
              <w:t>provided</w:t>
            </w:r>
          </w:p>
          <w:p w:rsidR="00525C1C" w:rsidRPr="009F16AA" w:rsidRDefault="006B656D" w:rsidP="009F16AA">
            <w:pPr>
              <w:pStyle w:val="a-000"/>
              <w:numPr>
                <w:ilvl w:val="0"/>
                <w:numId w:val="6"/>
              </w:numPr>
              <w:tabs>
                <w:tab w:val="clear" w:pos="794"/>
                <w:tab w:val="clear" w:pos="1304"/>
              </w:tabs>
              <w:spacing w:before="0" w:line="269" w:lineRule="auto"/>
              <w:ind w:right="144"/>
              <w:rPr>
                <w:rFonts w:eastAsia="Times"/>
              </w:rPr>
            </w:pPr>
            <w:r>
              <w:t xml:space="preserve">IFRS advisers </w:t>
            </w:r>
            <w:r w:rsidRPr="009F16AA">
              <w:t>must have provided a combination of services across at least two of the four categories detailed in point (3) below.</w:t>
            </w:r>
            <w:r w:rsidRPr="009F16AA">
              <w:rPr>
                <w:szCs w:val="22"/>
              </w:rPr>
              <w:t xml:space="preserve"> </w:t>
            </w:r>
          </w:p>
          <w:p w:rsidR="006B656D" w:rsidRPr="00253F83" w:rsidRDefault="006B656D" w:rsidP="009F16AA">
            <w:pPr>
              <w:pStyle w:val="a-000"/>
              <w:numPr>
                <w:ilvl w:val="0"/>
                <w:numId w:val="6"/>
              </w:numPr>
              <w:tabs>
                <w:tab w:val="clear" w:pos="794"/>
                <w:tab w:val="clear" w:pos="1304"/>
              </w:tabs>
              <w:spacing w:before="0" w:line="269" w:lineRule="auto"/>
              <w:ind w:right="144"/>
              <w:rPr>
                <w:rFonts w:eastAsia="Times"/>
              </w:rPr>
            </w:pPr>
            <w:r w:rsidRPr="009F16AA">
              <w:rPr>
                <w:szCs w:val="22"/>
              </w:rPr>
              <w:t>Where the individual is part of an IFRS advisory group the information provided must confirm that the group has a comprehensive knowledge of IFRS and that each member of the group specialises in a specific area/s.</w:t>
            </w:r>
          </w:p>
          <w:p w:rsidR="006B656D" w:rsidRPr="00253F83" w:rsidRDefault="006B656D" w:rsidP="009F16AA">
            <w:pPr>
              <w:pStyle w:val="a-000"/>
              <w:numPr>
                <w:ilvl w:val="0"/>
                <w:numId w:val="6"/>
              </w:numPr>
              <w:tabs>
                <w:tab w:val="clear" w:pos="794"/>
                <w:tab w:val="clear" w:pos="1304"/>
              </w:tabs>
              <w:spacing w:before="0" w:line="269" w:lineRule="auto"/>
              <w:ind w:right="144"/>
              <w:rPr>
                <w:szCs w:val="22"/>
              </w:rPr>
            </w:pPr>
            <w:r w:rsidRPr="00253F83">
              <w:rPr>
                <w:rFonts w:eastAsia="Times"/>
              </w:rPr>
              <w:t xml:space="preserve">In determining whether the required hours have been met to comply with the accreditation process, hours spent on the following </w:t>
            </w:r>
            <w:r w:rsidR="00525C1C">
              <w:rPr>
                <w:rFonts w:eastAsia="Times"/>
              </w:rPr>
              <w:t xml:space="preserve">may be accepted </w:t>
            </w:r>
            <w:r w:rsidRPr="00253F83">
              <w:rPr>
                <w:rFonts w:eastAsia="Times"/>
              </w:rPr>
              <w:t>provided that the IFRS Advisor motivates as to why these</w:t>
            </w:r>
            <w:r w:rsidR="00525C1C">
              <w:rPr>
                <w:rFonts w:eastAsia="Times"/>
              </w:rPr>
              <w:t xml:space="preserve"> are </w:t>
            </w:r>
            <w:r w:rsidRPr="00253F83">
              <w:rPr>
                <w:rFonts w:eastAsia="Times"/>
              </w:rPr>
              <w:t>spent on the practical interpretation of IFRS</w:t>
            </w:r>
            <w:r w:rsidR="00525C1C">
              <w:rPr>
                <w:rFonts w:eastAsia="Times"/>
              </w:rPr>
              <w:t xml:space="preserve">: </w:t>
            </w:r>
            <w:r w:rsidR="00253F83">
              <w:rPr>
                <w:rFonts w:eastAsia="Times"/>
              </w:rPr>
              <w:t>d</w:t>
            </w:r>
            <w:r w:rsidRPr="00253F83">
              <w:t>eveloping of training material (as opposed to merely preparing the prese</w:t>
            </w:r>
            <w:r w:rsidRPr="00BF0750">
              <w:t>ntation/slides);</w:t>
            </w:r>
            <w:r w:rsidR="00525C1C" w:rsidRPr="00253F83">
              <w:t xml:space="preserve"> </w:t>
            </w:r>
            <w:r w:rsidR="00253F83" w:rsidRPr="00253F83">
              <w:t>a</w:t>
            </w:r>
            <w:r w:rsidRPr="00BF0750">
              <w:t xml:space="preserve">ttendance of IFRS-related conferences; </w:t>
            </w:r>
            <w:r w:rsidR="00253F83" w:rsidRPr="00BF0750">
              <w:t>a</w:t>
            </w:r>
            <w:r w:rsidRPr="00BF0750">
              <w:t xml:space="preserve">ttendance of </w:t>
            </w:r>
            <w:r w:rsidR="00253F83">
              <w:t xml:space="preserve">technical </w:t>
            </w:r>
            <w:r w:rsidRPr="00253F83">
              <w:t>sub-committee meetings;</w:t>
            </w:r>
            <w:r w:rsidR="00525C1C" w:rsidRPr="00253F83">
              <w:t xml:space="preserve"> </w:t>
            </w:r>
            <w:r w:rsidR="00253F83" w:rsidRPr="00BF0750">
              <w:t>r</w:t>
            </w:r>
            <w:r w:rsidRPr="00BF0750">
              <w:t>eading of IFRS standards;</w:t>
            </w:r>
            <w:r w:rsidR="00525C1C" w:rsidRPr="00BF0750">
              <w:t xml:space="preserve"> </w:t>
            </w:r>
            <w:r w:rsidR="00253F83" w:rsidRPr="00253F83">
              <w:t>c</w:t>
            </w:r>
            <w:r w:rsidRPr="00253F83">
              <w:t>ompiling of annual financial statements;</w:t>
            </w:r>
            <w:r w:rsidR="00525C1C" w:rsidRPr="00253F83">
              <w:t xml:space="preserve"> </w:t>
            </w:r>
            <w:r w:rsidR="00253F83" w:rsidRPr="00253F83">
              <w:t>d</w:t>
            </w:r>
            <w:r w:rsidRPr="00BF0750">
              <w:t>eveloping internal disclosure programmes/ manuals; and</w:t>
            </w:r>
            <w:r w:rsidR="00525C1C">
              <w:t xml:space="preserve"> w</w:t>
            </w:r>
            <w:r w:rsidRPr="00253F83">
              <w:t>riting of articles</w:t>
            </w:r>
            <w:r w:rsidR="00525C1C">
              <w:t>.</w:t>
            </w:r>
          </w:p>
          <w:p w:rsidR="00253F83" w:rsidRPr="00253F83" w:rsidRDefault="00253F83" w:rsidP="009F16AA">
            <w:pPr>
              <w:pStyle w:val="a-000"/>
              <w:numPr>
                <w:ilvl w:val="0"/>
                <w:numId w:val="6"/>
              </w:numPr>
              <w:tabs>
                <w:tab w:val="clear" w:pos="794"/>
                <w:tab w:val="clear" w:pos="1304"/>
              </w:tabs>
              <w:spacing w:before="0" w:line="269" w:lineRule="auto"/>
              <w:ind w:right="144"/>
              <w:rPr>
                <w:szCs w:val="22"/>
              </w:rPr>
            </w:pPr>
            <w:r w:rsidRPr="0062669B">
              <w:rPr>
                <w:rFonts w:eastAsia="Times"/>
              </w:rPr>
              <w:t>As it relates to the timing of the information</w:t>
            </w:r>
            <w:r>
              <w:rPr>
                <w:rFonts w:eastAsia="Times"/>
              </w:rPr>
              <w:t xml:space="preserve"> p</w:t>
            </w:r>
            <w:r w:rsidRPr="0062669B">
              <w:rPr>
                <w:rFonts w:eastAsia="Times"/>
              </w:rPr>
              <w:t>lease ensure that your declaration highlights the 12-month period you have used.</w:t>
            </w:r>
            <w:r w:rsidR="00BF0750">
              <w:rPr>
                <w:rFonts w:eastAsia="Times"/>
              </w:rPr>
              <w:t xml:space="preserve"> </w:t>
            </w:r>
            <w:r>
              <w:rPr>
                <w:rFonts w:eastAsia="Times"/>
              </w:rPr>
              <w:t>W</w:t>
            </w:r>
            <w:r w:rsidRPr="0062669B">
              <w:rPr>
                <w:rFonts w:eastAsia="Times"/>
              </w:rPr>
              <w:t xml:space="preserve">e accept for practical purposes that a declaration submitted on 1 June might not be based on information for the 12 months from 1 June to 31 May. </w:t>
            </w:r>
          </w:p>
        </w:tc>
      </w:tr>
      <w:tr w:rsidR="006B656D" w:rsidRPr="00D24463" w:rsidTr="00DD228C">
        <w:trPr>
          <w:cantSplit/>
          <w:jc w:val="center"/>
        </w:trPr>
        <w:tc>
          <w:tcPr>
            <w:tcW w:w="7938" w:type="dxa"/>
          </w:tcPr>
          <w:p w:rsidR="006B656D" w:rsidRPr="00D24463" w:rsidRDefault="006B656D" w:rsidP="00DD228C">
            <w:pPr>
              <w:pStyle w:val="tabletext"/>
              <w:spacing w:before="60" w:after="60"/>
              <w:ind w:left="113" w:right="113"/>
              <w:jc w:val="both"/>
              <w:rPr>
                <w:sz w:val="22"/>
                <w:szCs w:val="22"/>
              </w:rPr>
            </w:pPr>
          </w:p>
        </w:tc>
      </w:tr>
    </w:tbl>
    <w:p w:rsidR="006B656D" w:rsidRDefault="006B656D" w:rsidP="00D9359B">
      <w:pPr>
        <w:pStyle w:val="head2"/>
        <w:jc w:val="both"/>
        <w:rPr>
          <w:szCs w:val="22"/>
        </w:rPr>
      </w:pPr>
    </w:p>
    <w:p w:rsidR="00D9359B" w:rsidRPr="00D9359B" w:rsidRDefault="00D9359B" w:rsidP="00D9359B">
      <w:pPr>
        <w:pStyle w:val="boldhead"/>
        <w:rPr>
          <w:szCs w:val="22"/>
        </w:rPr>
      </w:pPr>
      <w:r w:rsidRPr="00D9359B">
        <w:rPr>
          <w:szCs w:val="22"/>
        </w:rPr>
        <w:t>GENERAL INFORMATION</w:t>
      </w:r>
    </w:p>
    <w:p w:rsidR="00D9359B" w:rsidRPr="00D9359B" w:rsidRDefault="00D9359B" w:rsidP="00D9359B">
      <w:pPr>
        <w:pStyle w:val="parafullout"/>
        <w:tabs>
          <w:tab w:val="right" w:leader="dot" w:pos="6492"/>
        </w:tabs>
        <w:rPr>
          <w:szCs w:val="22"/>
        </w:rPr>
      </w:pPr>
      <w:r w:rsidRPr="00D9359B">
        <w:rPr>
          <w:szCs w:val="22"/>
        </w:rPr>
        <w:t>Name of individual:</w:t>
      </w:r>
      <w:r w:rsidRPr="00D9359B">
        <w:rPr>
          <w:szCs w:val="22"/>
        </w:rPr>
        <w:tab/>
      </w:r>
    </w:p>
    <w:p w:rsidR="00D9359B" w:rsidRPr="00D9359B" w:rsidRDefault="00D9359B" w:rsidP="00D9359B">
      <w:pPr>
        <w:pStyle w:val="parafullout"/>
        <w:tabs>
          <w:tab w:val="right" w:leader="dot" w:pos="6492"/>
        </w:tabs>
        <w:rPr>
          <w:szCs w:val="22"/>
        </w:rPr>
      </w:pPr>
      <w:r w:rsidRPr="00D9359B">
        <w:rPr>
          <w:szCs w:val="22"/>
        </w:rPr>
        <w:t>Employer:</w:t>
      </w:r>
      <w:r w:rsidRPr="00D9359B">
        <w:rPr>
          <w:szCs w:val="22"/>
        </w:rPr>
        <w:tab/>
      </w:r>
    </w:p>
    <w:p w:rsidR="00D9359B" w:rsidRPr="00D9359B" w:rsidRDefault="00D9359B" w:rsidP="00D9359B">
      <w:pPr>
        <w:pStyle w:val="parafullout"/>
        <w:tabs>
          <w:tab w:val="right" w:leader="dot" w:pos="6492"/>
        </w:tabs>
        <w:rPr>
          <w:szCs w:val="22"/>
        </w:rPr>
      </w:pPr>
      <w:r w:rsidRPr="00D9359B">
        <w:rPr>
          <w:szCs w:val="22"/>
        </w:rPr>
        <w:t>Related audit firm(s):</w:t>
      </w:r>
      <w:r w:rsidRPr="00D9359B">
        <w:rPr>
          <w:szCs w:val="22"/>
        </w:rPr>
        <w:tab/>
      </w:r>
    </w:p>
    <w:p w:rsidR="00D9359B" w:rsidRPr="009F16AA" w:rsidRDefault="00D9359B" w:rsidP="00D9359B">
      <w:pPr>
        <w:pStyle w:val="parafullout"/>
        <w:tabs>
          <w:tab w:val="right" w:leader="dot" w:pos="7938"/>
        </w:tabs>
        <w:rPr>
          <w:i/>
          <w:szCs w:val="22"/>
        </w:rPr>
      </w:pPr>
      <w:r w:rsidRPr="009F16AA">
        <w:rPr>
          <w:i/>
          <w:szCs w:val="22"/>
        </w:rPr>
        <w:t>(In case of an external IFRS adviser, please provide details of date when contract was signed with every audit firm and expiry date of such contract</w:t>
      </w:r>
      <w:r w:rsidR="006B656D" w:rsidRPr="009F16AA">
        <w:rPr>
          <w:i/>
          <w:szCs w:val="22"/>
        </w:rPr>
        <w:t>/</w:t>
      </w:r>
      <w:r w:rsidRPr="009F16AA">
        <w:rPr>
          <w:i/>
          <w:szCs w:val="22"/>
        </w:rPr>
        <w:t>s)</w:t>
      </w:r>
    </w:p>
    <w:p w:rsidR="00D9359B" w:rsidRPr="00D9359B" w:rsidRDefault="00D9359B" w:rsidP="00D9359B">
      <w:pPr>
        <w:pStyle w:val="parafullout"/>
        <w:tabs>
          <w:tab w:val="right" w:leader="dot" w:pos="6492"/>
        </w:tabs>
        <w:rPr>
          <w:szCs w:val="22"/>
        </w:rPr>
      </w:pPr>
      <w:r w:rsidRPr="00D9359B">
        <w:rPr>
          <w:szCs w:val="22"/>
        </w:rPr>
        <w:t>Registration/membership number with any</w:t>
      </w:r>
      <w:r w:rsidR="00D42A3A">
        <w:rPr>
          <w:szCs w:val="22"/>
        </w:rPr>
        <w:t xml:space="preserve"> regulator/</w:t>
      </w:r>
      <w:r w:rsidRPr="00D9359B">
        <w:rPr>
          <w:szCs w:val="22"/>
        </w:rPr>
        <w:t xml:space="preserve"> professional body: …………………….</w:t>
      </w:r>
    </w:p>
    <w:p w:rsidR="006B656D" w:rsidRDefault="006B656D" w:rsidP="006B656D">
      <w:pPr>
        <w:pStyle w:val="parafullout"/>
        <w:tabs>
          <w:tab w:val="right" w:leader="dot" w:pos="6492"/>
        </w:tabs>
        <w:rPr>
          <w:i/>
          <w:szCs w:val="22"/>
        </w:rPr>
      </w:pPr>
      <w:r w:rsidRPr="00DD228C">
        <w:rPr>
          <w:i/>
          <w:szCs w:val="22"/>
        </w:rPr>
        <w:t xml:space="preserve">(Please include copy of </w:t>
      </w:r>
      <w:r>
        <w:rPr>
          <w:i/>
          <w:szCs w:val="22"/>
        </w:rPr>
        <w:t>thereof</w:t>
      </w:r>
      <w:r w:rsidRPr="00DD228C">
        <w:rPr>
          <w:i/>
          <w:szCs w:val="22"/>
        </w:rPr>
        <w:t>)</w:t>
      </w:r>
    </w:p>
    <w:p w:rsidR="00D9359B" w:rsidRPr="00D9359B" w:rsidRDefault="00D9359B" w:rsidP="00D9359B">
      <w:pPr>
        <w:pStyle w:val="parafullout"/>
        <w:tabs>
          <w:tab w:val="right" w:leader="dot" w:pos="6492"/>
        </w:tabs>
        <w:rPr>
          <w:szCs w:val="22"/>
          <w:lang w:val="es-MX"/>
        </w:rPr>
      </w:pPr>
      <w:r w:rsidRPr="00D9359B">
        <w:rPr>
          <w:szCs w:val="22"/>
          <w:lang w:val="es-MX"/>
        </w:rPr>
        <w:t>Tel. no.</w:t>
      </w:r>
      <w:r w:rsidR="00BF069B" w:rsidRPr="00BF069B">
        <w:rPr>
          <w:szCs w:val="22"/>
        </w:rPr>
        <w:t xml:space="preserve"> </w:t>
      </w:r>
      <w:r w:rsidR="00BF069B">
        <w:rPr>
          <w:szCs w:val="22"/>
        </w:rPr>
        <w:t xml:space="preserve">(landline and </w:t>
      </w:r>
      <w:proofErr w:type="spellStart"/>
      <w:r w:rsidR="00BF069B">
        <w:rPr>
          <w:szCs w:val="22"/>
        </w:rPr>
        <w:t>cellphone</w:t>
      </w:r>
      <w:proofErr w:type="spellEnd"/>
      <w:proofErr w:type="gramStart"/>
      <w:r w:rsidR="00BF069B">
        <w:rPr>
          <w:szCs w:val="22"/>
        </w:rPr>
        <w:t>)</w:t>
      </w:r>
      <w:r w:rsidR="00BF069B" w:rsidRPr="00D24463">
        <w:rPr>
          <w:szCs w:val="22"/>
        </w:rPr>
        <w:t>.:</w:t>
      </w:r>
      <w:r w:rsidRPr="00D9359B">
        <w:rPr>
          <w:szCs w:val="22"/>
          <w:lang w:val="es-MX"/>
        </w:rPr>
        <w:t>:</w:t>
      </w:r>
      <w:proofErr w:type="gramEnd"/>
      <w:r w:rsidRPr="00D9359B">
        <w:rPr>
          <w:szCs w:val="22"/>
          <w:lang w:val="es-MX"/>
        </w:rPr>
        <w:tab/>
      </w:r>
    </w:p>
    <w:p w:rsidR="00D9359B" w:rsidRPr="00D9359B" w:rsidRDefault="00D9359B" w:rsidP="00D9359B">
      <w:pPr>
        <w:pStyle w:val="parafullout"/>
        <w:tabs>
          <w:tab w:val="right" w:leader="dot" w:pos="6492"/>
        </w:tabs>
        <w:rPr>
          <w:szCs w:val="22"/>
          <w:lang w:val="es-MX"/>
        </w:rPr>
      </w:pPr>
      <w:r w:rsidRPr="00D9359B">
        <w:rPr>
          <w:szCs w:val="22"/>
          <w:lang w:val="es-MX"/>
        </w:rPr>
        <w:lastRenderedPageBreak/>
        <w:t>E-mail:</w:t>
      </w:r>
      <w:r w:rsidRPr="00D9359B">
        <w:rPr>
          <w:szCs w:val="22"/>
          <w:lang w:val="es-MX"/>
        </w:rPr>
        <w:tab/>
      </w:r>
    </w:p>
    <w:p w:rsidR="00D9359B" w:rsidRPr="00D9359B" w:rsidRDefault="00D9359B" w:rsidP="00D9359B">
      <w:pPr>
        <w:pStyle w:val="parafullout"/>
        <w:tabs>
          <w:tab w:val="right" w:leader="dot" w:pos="6492"/>
        </w:tabs>
        <w:rPr>
          <w:szCs w:val="22"/>
        </w:rPr>
      </w:pPr>
      <w:r w:rsidRPr="00D9359B">
        <w:rPr>
          <w:szCs w:val="22"/>
        </w:rPr>
        <w:t>Physical address:</w:t>
      </w:r>
      <w:r w:rsidRPr="00D9359B">
        <w:rPr>
          <w:szCs w:val="22"/>
        </w:rPr>
        <w:tab/>
      </w:r>
    </w:p>
    <w:p w:rsidR="00D9359B" w:rsidRPr="00D9359B" w:rsidRDefault="00D9359B" w:rsidP="00D9359B">
      <w:pPr>
        <w:pStyle w:val="parafullout"/>
        <w:tabs>
          <w:tab w:val="right" w:leader="dot" w:pos="6492"/>
        </w:tabs>
        <w:rPr>
          <w:szCs w:val="22"/>
        </w:rPr>
      </w:pPr>
      <w:r w:rsidRPr="00D9359B">
        <w:rPr>
          <w:szCs w:val="22"/>
        </w:rPr>
        <w:t>Postal address:</w:t>
      </w:r>
      <w:r w:rsidRPr="00D9359B">
        <w:rPr>
          <w:szCs w:val="22"/>
        </w:rPr>
        <w:tab/>
      </w:r>
    </w:p>
    <w:p w:rsidR="00D9359B" w:rsidRPr="00D9359B" w:rsidRDefault="00D9359B" w:rsidP="00D9359B">
      <w:pPr>
        <w:pStyle w:val="parafullout"/>
        <w:tabs>
          <w:tab w:val="right" w:leader="dot" w:pos="6492"/>
        </w:tabs>
        <w:rPr>
          <w:szCs w:val="22"/>
        </w:rPr>
      </w:pPr>
      <w:r w:rsidRPr="00D9359B">
        <w:rPr>
          <w:szCs w:val="22"/>
        </w:rPr>
        <w:t xml:space="preserve">Vat </w:t>
      </w:r>
      <w:proofErr w:type="spellStart"/>
      <w:r w:rsidRPr="00D9359B">
        <w:rPr>
          <w:szCs w:val="22"/>
        </w:rPr>
        <w:t>reg</w:t>
      </w:r>
      <w:proofErr w:type="spellEnd"/>
      <w:r w:rsidRPr="00D9359B">
        <w:rPr>
          <w:szCs w:val="22"/>
        </w:rPr>
        <w:t xml:space="preserve"> number: </w:t>
      </w:r>
      <w:r w:rsidRPr="00D9359B">
        <w:rPr>
          <w:szCs w:val="22"/>
        </w:rPr>
        <w:tab/>
      </w:r>
    </w:p>
    <w:p w:rsidR="00D9359B" w:rsidRPr="00D9359B" w:rsidRDefault="00D9359B" w:rsidP="00D9359B">
      <w:pPr>
        <w:pStyle w:val="parafullout"/>
        <w:tabs>
          <w:tab w:val="right" w:leader="dot" w:pos="6492"/>
        </w:tabs>
        <w:rPr>
          <w:szCs w:val="22"/>
        </w:rPr>
      </w:pPr>
      <w:r w:rsidRPr="00D9359B">
        <w:rPr>
          <w:szCs w:val="22"/>
        </w:rPr>
        <w:t>Audit firm employed with (internal person) or audit firm/s consulted to (external persons):</w:t>
      </w:r>
      <w:r w:rsidRPr="00D9359B">
        <w:rPr>
          <w:szCs w:val="22"/>
        </w:rPr>
        <w:tab/>
      </w:r>
    </w:p>
    <w:p w:rsidR="0002205B" w:rsidRDefault="0002205B" w:rsidP="00D9359B">
      <w:pPr>
        <w:pStyle w:val="parafullout"/>
        <w:rPr>
          <w:szCs w:val="22"/>
        </w:rPr>
      </w:pPr>
    </w:p>
    <w:p w:rsidR="00C2237E" w:rsidRDefault="00C2237E" w:rsidP="0002205B">
      <w:pPr>
        <w:pStyle w:val="head2"/>
        <w:jc w:val="both"/>
        <w:rPr>
          <w:szCs w:val="22"/>
        </w:rPr>
      </w:pPr>
      <w:r>
        <w:rPr>
          <w:szCs w:val="22"/>
        </w:rPr>
        <w:t>DECLAR</w:t>
      </w:r>
      <w:r w:rsidR="002B4703">
        <w:rPr>
          <w:szCs w:val="22"/>
        </w:rPr>
        <w:t>A</w:t>
      </w:r>
      <w:r>
        <w:rPr>
          <w:szCs w:val="22"/>
        </w:rPr>
        <w:t xml:space="preserve">TIONS </w:t>
      </w:r>
    </w:p>
    <w:p w:rsidR="00BF0750" w:rsidRDefault="00BF0750" w:rsidP="00BF0750">
      <w:pPr>
        <w:pStyle w:val="parafullout"/>
        <w:spacing w:before="40"/>
        <w:rPr>
          <w:szCs w:val="22"/>
        </w:rPr>
      </w:pPr>
    </w:p>
    <w:p w:rsidR="00BF0750" w:rsidRPr="00DD228C" w:rsidRDefault="00BF0750" w:rsidP="00BF0750">
      <w:pPr>
        <w:pStyle w:val="parafullout"/>
        <w:spacing w:before="40"/>
        <w:rPr>
          <w:szCs w:val="22"/>
        </w:rPr>
      </w:pPr>
      <w:r w:rsidRPr="00600066">
        <w:rPr>
          <w:szCs w:val="22"/>
        </w:rPr>
        <w:t>I hereby declare that I [</w:t>
      </w:r>
      <w:r w:rsidRPr="00600066">
        <w:rPr>
          <w:i/>
          <w:szCs w:val="22"/>
        </w:rPr>
        <w:t>insert name of individual</w:t>
      </w:r>
      <w:r w:rsidRPr="00600066">
        <w:rPr>
          <w:szCs w:val="22"/>
        </w:rPr>
        <w:t>]</w:t>
      </w:r>
      <w:r w:rsidRPr="00265BE3">
        <w:rPr>
          <w:szCs w:val="22"/>
        </w:rPr>
        <w:t>:</w:t>
      </w:r>
      <w:r w:rsidRPr="00DD228C">
        <w:rPr>
          <w:szCs w:val="22"/>
        </w:rPr>
        <w:t xml:space="preserve"> </w:t>
      </w:r>
    </w:p>
    <w:p w:rsidR="0002205B" w:rsidRPr="00D24463" w:rsidRDefault="00C2237E" w:rsidP="0002205B">
      <w:pPr>
        <w:pStyle w:val="head2"/>
        <w:jc w:val="both"/>
        <w:rPr>
          <w:szCs w:val="22"/>
        </w:rPr>
      </w:pPr>
      <w:r>
        <w:rPr>
          <w:szCs w:val="22"/>
        </w:rPr>
        <w:t>PART A: SPECIFIC TO THE IFRS ADVISER</w:t>
      </w:r>
      <w:r w:rsidR="005B0CE6">
        <w:rPr>
          <w:szCs w:val="22"/>
        </w:rPr>
        <w:t xml:space="preserve"> </w:t>
      </w:r>
      <w:r w:rsidR="002D569A">
        <w:rPr>
          <w:szCs w:val="22"/>
        </w:rPr>
        <w:t>ROLE</w:t>
      </w:r>
    </w:p>
    <w:p w:rsidR="0002205B" w:rsidRPr="00D24463" w:rsidRDefault="0002205B" w:rsidP="0002205B">
      <w:pPr>
        <w:pStyle w:val="parafullout"/>
        <w:tabs>
          <w:tab w:val="right" w:leader="dot" w:pos="6492"/>
        </w:tabs>
        <w:spacing w:before="40"/>
        <w:rPr>
          <w:szCs w:val="22"/>
        </w:rPr>
      </w:pPr>
    </w:p>
    <w:p w:rsidR="00D9359B" w:rsidRPr="00D9359B" w:rsidRDefault="00C2237E" w:rsidP="00D9359B">
      <w:pPr>
        <w:pStyle w:val="a-"/>
        <w:rPr>
          <w:szCs w:val="22"/>
        </w:rPr>
      </w:pPr>
      <w:r>
        <w:rPr>
          <w:szCs w:val="22"/>
        </w:rPr>
        <w:t>(1)</w:t>
      </w:r>
      <w:r w:rsidR="00D9359B" w:rsidRPr="00D9359B">
        <w:rPr>
          <w:szCs w:val="22"/>
        </w:rPr>
        <w:tab/>
      </w:r>
      <w:proofErr w:type="gramStart"/>
      <w:r w:rsidR="00D9359B" w:rsidRPr="00D9359B">
        <w:rPr>
          <w:szCs w:val="22"/>
        </w:rPr>
        <w:t>have</w:t>
      </w:r>
      <w:proofErr w:type="gramEnd"/>
      <w:r w:rsidR="00D9359B" w:rsidRPr="00D9359B">
        <w:rPr>
          <w:szCs w:val="22"/>
        </w:rPr>
        <w:t xml:space="preserve"> a comprehensive working knowledge of IFRS and those standards issued by the Accounting Practises Committee as the Financial Reporting Guidelines, and issued by the Financial Reporting Standards Council as the  Financial Reporting Pronouncements;</w:t>
      </w:r>
    </w:p>
    <w:p w:rsidR="00D9359B" w:rsidRPr="00D9359B" w:rsidRDefault="00D9359B" w:rsidP="00D9359B">
      <w:pPr>
        <w:pStyle w:val="a-"/>
        <w:rPr>
          <w:szCs w:val="22"/>
        </w:rPr>
      </w:pPr>
      <w:r w:rsidRPr="00D9359B">
        <w:rPr>
          <w:szCs w:val="22"/>
        </w:rPr>
        <w:tab/>
        <w:t>OR</w:t>
      </w:r>
    </w:p>
    <w:p w:rsidR="00D9359B" w:rsidRPr="00D9359B" w:rsidRDefault="00D9359B" w:rsidP="00D9359B">
      <w:pPr>
        <w:pStyle w:val="a-"/>
        <w:rPr>
          <w:szCs w:val="22"/>
        </w:rPr>
      </w:pPr>
      <w:r w:rsidRPr="00D9359B">
        <w:rPr>
          <w:szCs w:val="22"/>
        </w:rPr>
        <w:tab/>
        <w:t>together with [</w:t>
      </w:r>
      <w:r w:rsidRPr="00D9359B">
        <w:rPr>
          <w:i/>
          <w:szCs w:val="22"/>
        </w:rPr>
        <w:t>insert name of the other individual who is part of the IFRS advisory group</w:t>
      </w:r>
      <w:r w:rsidRPr="00D9359B">
        <w:rPr>
          <w:szCs w:val="22"/>
        </w:rPr>
        <w:t xml:space="preserve">], with whom I work as part of an IFRS advisory group, have a comprehensive working knowledge of IFRS and those standards issued by the Accounting Practices </w:t>
      </w:r>
      <w:r w:rsidR="00600066" w:rsidRPr="00D9359B">
        <w:rPr>
          <w:szCs w:val="22"/>
        </w:rPr>
        <w:t>Committee as the Financial Reporting Guidelines, and issued by the Financial Reporting Standards Council as the Financial Reporting Pronouncements</w:t>
      </w:r>
      <w:r w:rsidRPr="00D9359B">
        <w:rPr>
          <w:szCs w:val="22"/>
        </w:rPr>
        <w:t>;</w:t>
      </w:r>
    </w:p>
    <w:p w:rsidR="00D9359B" w:rsidRPr="00D9359B" w:rsidRDefault="00C2237E" w:rsidP="00D9359B">
      <w:pPr>
        <w:pStyle w:val="a-"/>
        <w:rPr>
          <w:szCs w:val="22"/>
        </w:rPr>
      </w:pPr>
      <w:r>
        <w:rPr>
          <w:szCs w:val="22"/>
        </w:rPr>
        <w:t xml:space="preserve">(2) </w:t>
      </w:r>
      <w:r w:rsidR="00D9359B" w:rsidRPr="00D9359B">
        <w:rPr>
          <w:szCs w:val="22"/>
        </w:rPr>
        <w:tab/>
        <w:t>have spent the minimum required hours, as detailed in paragraph</w:t>
      </w:r>
      <w:r>
        <w:rPr>
          <w:szCs w:val="22"/>
        </w:rPr>
        <w:t xml:space="preserve"> </w:t>
      </w:r>
      <w:r w:rsidR="00483EFC">
        <w:rPr>
          <w:szCs w:val="22"/>
        </w:rPr>
        <w:t>22.5</w:t>
      </w:r>
      <w:r w:rsidR="00D9359B" w:rsidRPr="00D9359B">
        <w:rPr>
          <w:szCs w:val="22"/>
        </w:rPr>
        <w:t xml:space="preserve"> of </w:t>
      </w:r>
      <w:r w:rsidR="00483EFC">
        <w:rPr>
          <w:szCs w:val="22"/>
        </w:rPr>
        <w:t>Section 22</w:t>
      </w:r>
      <w:r w:rsidR="00D9359B" w:rsidRPr="00D9359B">
        <w:rPr>
          <w:szCs w:val="22"/>
        </w:rPr>
        <w:t>, over the past 12 months on qualifying IFRS consulting, as evidenced from the details provided below;</w:t>
      </w:r>
    </w:p>
    <w:p w:rsidR="00D9359B" w:rsidRPr="005B0CE6" w:rsidRDefault="00C2237E" w:rsidP="00D9359B">
      <w:pPr>
        <w:pStyle w:val="a-"/>
        <w:rPr>
          <w:szCs w:val="22"/>
        </w:rPr>
      </w:pPr>
      <w:r>
        <w:rPr>
          <w:szCs w:val="22"/>
        </w:rPr>
        <w:t xml:space="preserve">(3) </w:t>
      </w:r>
      <w:r w:rsidR="00D9359B" w:rsidRPr="00D9359B">
        <w:rPr>
          <w:szCs w:val="22"/>
        </w:rPr>
        <w:tab/>
      </w:r>
      <w:proofErr w:type="gramStart"/>
      <w:r>
        <w:rPr>
          <w:szCs w:val="22"/>
        </w:rPr>
        <w:t>h</w:t>
      </w:r>
      <w:r w:rsidR="00600066" w:rsidRPr="00600066">
        <w:rPr>
          <w:szCs w:val="22"/>
        </w:rPr>
        <w:t>ereby</w:t>
      </w:r>
      <w:proofErr w:type="gramEnd"/>
      <w:r w:rsidR="00600066" w:rsidRPr="00600066">
        <w:rPr>
          <w:szCs w:val="22"/>
        </w:rPr>
        <w:t xml:space="preserve"> </w:t>
      </w:r>
      <w:r w:rsidR="00D9359B" w:rsidRPr="005B0CE6">
        <w:rPr>
          <w:szCs w:val="22"/>
        </w:rPr>
        <w:t>provide a summary of the IFRS work done on each of the four categories set out below, detailing the number of hours spent and the applicable IFRSs per category:</w:t>
      </w:r>
    </w:p>
    <w:p w:rsidR="00D9359B" w:rsidRPr="00600066" w:rsidRDefault="00D9359B" w:rsidP="005B0CE6">
      <w:pPr>
        <w:pStyle w:val="bullet"/>
        <w:tabs>
          <w:tab w:val="clear" w:pos="510"/>
          <w:tab w:val="left" w:pos="-1276"/>
          <w:tab w:val="left" w:pos="-567"/>
          <w:tab w:val="left" w:pos="1134"/>
        </w:tabs>
        <w:ind w:left="1134" w:hanging="680"/>
        <w:rPr>
          <w:szCs w:val="22"/>
        </w:rPr>
      </w:pPr>
      <w:r w:rsidRPr="00600066">
        <w:rPr>
          <w:szCs w:val="22"/>
        </w:rPr>
        <w:tab/>
        <w:t>•</w:t>
      </w:r>
      <w:r w:rsidRPr="00600066">
        <w:rPr>
          <w:szCs w:val="22"/>
        </w:rPr>
        <w:tab/>
      </w:r>
      <w:proofErr w:type="gramStart"/>
      <w:r w:rsidRPr="005B0CE6">
        <w:rPr>
          <w:szCs w:val="22"/>
        </w:rPr>
        <w:t>review</w:t>
      </w:r>
      <w:proofErr w:type="gramEnd"/>
      <w:r w:rsidRPr="005B0CE6">
        <w:rPr>
          <w:szCs w:val="22"/>
        </w:rPr>
        <w:t xml:space="preserve"> of financial statements for IFRS compliance;</w:t>
      </w:r>
    </w:p>
    <w:p w:rsidR="00D9359B" w:rsidRPr="005B0CE6" w:rsidRDefault="00D9359B" w:rsidP="005B0CE6">
      <w:pPr>
        <w:pStyle w:val="bullet"/>
        <w:tabs>
          <w:tab w:val="clear" w:pos="510"/>
          <w:tab w:val="left" w:pos="-1276"/>
          <w:tab w:val="left" w:pos="-567"/>
          <w:tab w:val="left" w:pos="1134"/>
        </w:tabs>
        <w:ind w:left="1134" w:hanging="680"/>
        <w:rPr>
          <w:szCs w:val="22"/>
        </w:rPr>
      </w:pPr>
      <w:r w:rsidRPr="005B0CE6">
        <w:rPr>
          <w:szCs w:val="22"/>
        </w:rPr>
        <w:tab/>
        <w:t>•</w:t>
      </w:r>
      <w:r w:rsidRPr="005B0CE6">
        <w:rPr>
          <w:szCs w:val="22"/>
        </w:rPr>
        <w:tab/>
        <w:t>advising internal /external clients on the interpretation and/or application of IFRS;</w:t>
      </w:r>
    </w:p>
    <w:p w:rsidR="00D9359B" w:rsidRPr="005B0CE6" w:rsidRDefault="00D9359B" w:rsidP="005B0CE6">
      <w:pPr>
        <w:pStyle w:val="bullet"/>
        <w:tabs>
          <w:tab w:val="clear" w:pos="510"/>
          <w:tab w:val="left" w:pos="-1276"/>
          <w:tab w:val="left" w:pos="-567"/>
          <w:tab w:val="left" w:pos="1134"/>
        </w:tabs>
        <w:ind w:left="1134" w:hanging="680"/>
        <w:rPr>
          <w:szCs w:val="22"/>
        </w:rPr>
      </w:pPr>
      <w:r w:rsidRPr="005B0CE6">
        <w:rPr>
          <w:szCs w:val="22"/>
        </w:rPr>
        <w:tab/>
        <w:t>•</w:t>
      </w:r>
      <w:r w:rsidRPr="005B0CE6">
        <w:rPr>
          <w:szCs w:val="22"/>
        </w:rPr>
        <w:tab/>
        <w:t>providing practical training on the application and interpretation of IFRS; and</w:t>
      </w:r>
    </w:p>
    <w:p w:rsidR="00D9359B" w:rsidRPr="00600066" w:rsidRDefault="00D9359B" w:rsidP="00253F83">
      <w:pPr>
        <w:pStyle w:val="bullet"/>
        <w:tabs>
          <w:tab w:val="clear" w:pos="510"/>
          <w:tab w:val="left" w:pos="-1276"/>
          <w:tab w:val="left" w:pos="-567"/>
          <w:tab w:val="left" w:pos="1134"/>
        </w:tabs>
        <w:ind w:left="1134" w:hanging="680"/>
        <w:rPr>
          <w:szCs w:val="22"/>
        </w:rPr>
      </w:pPr>
      <w:r w:rsidRPr="005B0CE6">
        <w:rPr>
          <w:szCs w:val="22"/>
        </w:rPr>
        <w:tab/>
        <w:t>•</w:t>
      </w:r>
      <w:r w:rsidRPr="005B0CE6">
        <w:rPr>
          <w:szCs w:val="22"/>
        </w:rPr>
        <w:tab/>
      </w:r>
      <w:proofErr w:type="gramStart"/>
      <w:r w:rsidRPr="005B0CE6">
        <w:rPr>
          <w:szCs w:val="22"/>
        </w:rPr>
        <w:t>other</w:t>
      </w:r>
      <w:proofErr w:type="gramEnd"/>
      <w:r w:rsidRPr="005B0CE6">
        <w:rPr>
          <w:szCs w:val="22"/>
        </w:rPr>
        <w:t xml:space="preserve"> practical matters </w:t>
      </w:r>
      <w:r w:rsidRPr="00600066">
        <w:rPr>
          <w:i/>
          <w:szCs w:val="22"/>
        </w:rPr>
        <w:t>(</w:t>
      </w:r>
      <w:r w:rsidRPr="006B656D">
        <w:rPr>
          <w:i/>
          <w:szCs w:val="22"/>
        </w:rPr>
        <w:t xml:space="preserve">please </w:t>
      </w:r>
      <w:r w:rsidRPr="00253F83">
        <w:rPr>
          <w:i/>
          <w:szCs w:val="22"/>
        </w:rPr>
        <w:t>provide details</w:t>
      </w:r>
      <w:r w:rsidR="002D569A" w:rsidRPr="00253F83">
        <w:rPr>
          <w:i/>
          <w:szCs w:val="22"/>
        </w:rPr>
        <w:t>, with motivation as to why t</w:t>
      </w:r>
      <w:r w:rsidR="006B656D" w:rsidRPr="009F16AA">
        <w:rPr>
          <w:i/>
          <w:szCs w:val="22"/>
        </w:rPr>
        <w:t>h</w:t>
      </w:r>
      <w:r w:rsidR="002D569A" w:rsidRPr="006B656D">
        <w:rPr>
          <w:i/>
          <w:szCs w:val="22"/>
        </w:rPr>
        <w:t>is</w:t>
      </w:r>
      <w:r w:rsidR="006B656D" w:rsidRPr="009F16AA">
        <w:rPr>
          <w:i/>
          <w:szCs w:val="22"/>
        </w:rPr>
        <w:t xml:space="preserve"> </w:t>
      </w:r>
      <w:r w:rsidR="006B656D">
        <w:rPr>
          <w:i/>
          <w:szCs w:val="22"/>
        </w:rPr>
        <w:t xml:space="preserve">matter </w:t>
      </w:r>
      <w:r w:rsidR="006B656D" w:rsidRPr="009F16AA">
        <w:rPr>
          <w:i/>
          <w:szCs w:val="22"/>
        </w:rPr>
        <w:t xml:space="preserve">should count </w:t>
      </w:r>
      <w:r w:rsidR="006B656D">
        <w:rPr>
          <w:i/>
          <w:szCs w:val="22"/>
        </w:rPr>
        <w:t>as fulfilling the criteria of being</w:t>
      </w:r>
      <w:r w:rsidR="006B656D" w:rsidRPr="009F16AA">
        <w:rPr>
          <w:i/>
          <w:szCs w:val="22"/>
        </w:rPr>
        <w:t xml:space="preserve"> the interpretation of IFRS</w:t>
      </w:r>
      <w:r w:rsidRPr="00253F83">
        <w:rPr>
          <w:szCs w:val="22"/>
        </w:rPr>
        <w:t>.</w:t>
      </w:r>
      <w:r w:rsidR="002D569A">
        <w:rPr>
          <w:i/>
          <w:szCs w:val="22"/>
        </w:rPr>
        <w:tab/>
      </w:r>
    </w:p>
    <w:p w:rsidR="00C2237E" w:rsidRDefault="00C2237E" w:rsidP="00D9359B">
      <w:pPr>
        <w:pStyle w:val="bullet"/>
        <w:tabs>
          <w:tab w:val="left" w:pos="340"/>
          <w:tab w:val="left" w:pos="680"/>
        </w:tabs>
        <w:ind w:left="680" w:hanging="680"/>
        <w:rPr>
          <w:szCs w:val="22"/>
        </w:rPr>
      </w:pPr>
      <w:r w:rsidRPr="005B0CE6">
        <w:rPr>
          <w:szCs w:val="22"/>
        </w:rPr>
        <w:t>(4)</w:t>
      </w:r>
      <w:r w:rsidR="00D9359B" w:rsidRPr="005B0CE6">
        <w:rPr>
          <w:szCs w:val="22"/>
        </w:rPr>
        <w:tab/>
      </w:r>
      <w:r w:rsidR="00D9359B" w:rsidRPr="005B0CE6">
        <w:rPr>
          <w:szCs w:val="22"/>
        </w:rPr>
        <w:tab/>
      </w:r>
      <w:r>
        <w:rPr>
          <w:szCs w:val="22"/>
        </w:rPr>
        <w:t xml:space="preserve">Hereby </w:t>
      </w:r>
      <w:r w:rsidR="00D9359B" w:rsidRPr="005B0CE6">
        <w:rPr>
          <w:szCs w:val="22"/>
        </w:rPr>
        <w:t>provide a list of clients to who</w:t>
      </w:r>
      <w:r>
        <w:rPr>
          <w:szCs w:val="22"/>
        </w:rPr>
        <w:t>m</w:t>
      </w:r>
      <w:r w:rsidR="00D9359B" w:rsidRPr="005B0CE6">
        <w:rPr>
          <w:szCs w:val="22"/>
        </w:rPr>
        <w:t xml:space="preserve"> a service was provided</w:t>
      </w:r>
    </w:p>
    <w:p w:rsidR="00D9359B" w:rsidRPr="00C2237E" w:rsidRDefault="00C2237E" w:rsidP="005B0CE6">
      <w:pPr>
        <w:pStyle w:val="bullet"/>
        <w:tabs>
          <w:tab w:val="clear" w:pos="510"/>
          <w:tab w:val="left" w:pos="-1560"/>
          <w:tab w:val="left" w:pos="680"/>
        </w:tabs>
        <w:ind w:left="680" w:hanging="680"/>
        <w:rPr>
          <w:i/>
          <w:szCs w:val="22"/>
        </w:rPr>
      </w:pPr>
      <w:r w:rsidRPr="005B0CE6">
        <w:rPr>
          <w:i/>
        </w:rPr>
        <w:tab/>
      </w:r>
      <w:r w:rsidRPr="005B0CE6">
        <w:rPr>
          <w:i/>
        </w:rPr>
        <w:tab/>
        <w:t xml:space="preserve">[Individuals do not have to </w:t>
      </w:r>
      <w:r w:rsidR="00D9359B" w:rsidRPr="00C2237E">
        <w:rPr>
          <w:i/>
        </w:rPr>
        <w:t>necessarily specify which service</w:t>
      </w:r>
      <w:r>
        <w:rPr>
          <w:i/>
          <w:szCs w:val="22"/>
        </w:rPr>
        <w:t>s</w:t>
      </w:r>
      <w:r w:rsidR="00D9359B" w:rsidRPr="00C2237E">
        <w:rPr>
          <w:i/>
        </w:rPr>
        <w:t xml:space="preserve"> w</w:t>
      </w:r>
      <w:r>
        <w:rPr>
          <w:i/>
          <w:szCs w:val="22"/>
        </w:rPr>
        <w:t>ere</w:t>
      </w:r>
      <w:r w:rsidR="00D9359B" w:rsidRPr="00C2237E">
        <w:rPr>
          <w:i/>
        </w:rPr>
        <w:t xml:space="preserve"> provided to which client</w:t>
      </w:r>
      <w:r>
        <w:rPr>
          <w:i/>
          <w:szCs w:val="22"/>
        </w:rPr>
        <w:t>s</w:t>
      </w:r>
      <w:r w:rsidR="00D9359B" w:rsidRPr="00C2237E">
        <w:rPr>
          <w:i/>
          <w:szCs w:val="22"/>
        </w:rPr>
        <w:t>.]</w:t>
      </w:r>
    </w:p>
    <w:p w:rsidR="00D9359B" w:rsidRPr="00D9359B" w:rsidRDefault="00C2237E" w:rsidP="005B0CE6">
      <w:pPr>
        <w:pStyle w:val="a-"/>
        <w:spacing w:before="40"/>
        <w:ind w:left="0" w:firstLine="0"/>
        <w:rPr>
          <w:szCs w:val="22"/>
        </w:rPr>
      </w:pPr>
      <w:r>
        <w:rPr>
          <w:szCs w:val="22"/>
        </w:rPr>
        <w:t>(5)</w:t>
      </w:r>
      <w:r w:rsidR="00D9359B" w:rsidRPr="00D9359B">
        <w:rPr>
          <w:szCs w:val="22"/>
        </w:rPr>
        <w:tab/>
        <w:t>have access to a network of other IFRS advisers to assist and advise me on IFRS matters;</w:t>
      </w:r>
    </w:p>
    <w:p w:rsidR="00D9359B" w:rsidRPr="00D9359B" w:rsidRDefault="00C2237E">
      <w:pPr>
        <w:pStyle w:val="a-"/>
        <w:spacing w:before="40"/>
        <w:rPr>
          <w:szCs w:val="22"/>
        </w:rPr>
      </w:pPr>
      <w:r>
        <w:rPr>
          <w:szCs w:val="22"/>
        </w:rPr>
        <w:t>(6)</w:t>
      </w:r>
      <w:r w:rsidR="00D9359B" w:rsidRPr="00D9359B">
        <w:rPr>
          <w:szCs w:val="22"/>
        </w:rPr>
        <w:tab/>
      </w:r>
      <w:r>
        <w:rPr>
          <w:szCs w:val="22"/>
        </w:rPr>
        <w:t xml:space="preserve">in the instance of being an external IFRS advisor, </w:t>
      </w:r>
      <w:r w:rsidR="00D9359B" w:rsidRPr="00D9359B">
        <w:rPr>
          <w:szCs w:val="22"/>
        </w:rPr>
        <w:t>have notified the JSE within 5 working days where the agreement between myself and a JSE accredited auditor for whom I acted as external IFRS adviser was terminated; and</w:t>
      </w:r>
    </w:p>
    <w:p w:rsidR="00D9359B" w:rsidRPr="00D9359B" w:rsidRDefault="00C2237E" w:rsidP="00D9359B">
      <w:pPr>
        <w:pStyle w:val="a-"/>
        <w:spacing w:before="40"/>
        <w:rPr>
          <w:szCs w:val="22"/>
        </w:rPr>
      </w:pPr>
      <w:r>
        <w:rPr>
          <w:szCs w:val="22"/>
        </w:rPr>
        <w:t xml:space="preserve">(7) </w:t>
      </w:r>
      <w:r>
        <w:rPr>
          <w:szCs w:val="22"/>
        </w:rPr>
        <w:tab/>
      </w:r>
      <w:r w:rsidR="00D9359B" w:rsidRPr="00D9359B">
        <w:rPr>
          <w:szCs w:val="22"/>
        </w:rPr>
        <w:t>agree to provide information to the JSE and act as technical link between the JSE and the audit firm, individual auditor, reporting accountant and/or reporting accountants specialist in instances where the JSE requires interaction in relation to the IFRS reporting by an applicant issuer, and confirm that my contract with the audit firm/individual auditor allows me to fulfil this role.</w:t>
      </w:r>
    </w:p>
    <w:p w:rsidR="006B656D" w:rsidRDefault="006B656D">
      <w:pPr>
        <w:rPr>
          <w:rFonts w:ascii="Times New Roman" w:eastAsia="Times New Roman" w:hAnsi="Times New Roman" w:cs="Times New Roman"/>
          <w:b/>
          <w:lang w:val="en-GB"/>
        </w:rPr>
      </w:pPr>
      <w:r>
        <w:br w:type="page"/>
      </w:r>
    </w:p>
    <w:p w:rsidR="00600066" w:rsidRPr="00D9359B" w:rsidRDefault="00C2237E" w:rsidP="00600066">
      <w:pPr>
        <w:pStyle w:val="head2"/>
        <w:jc w:val="both"/>
        <w:rPr>
          <w:szCs w:val="22"/>
        </w:rPr>
      </w:pPr>
      <w:r>
        <w:rPr>
          <w:szCs w:val="22"/>
        </w:rPr>
        <w:lastRenderedPageBreak/>
        <w:t xml:space="preserve">PART B: GENERAL </w:t>
      </w:r>
      <w:r w:rsidR="00600066" w:rsidRPr="00D9359B">
        <w:rPr>
          <w:szCs w:val="22"/>
        </w:rPr>
        <w:t xml:space="preserve">DECLARATION </w:t>
      </w:r>
    </w:p>
    <w:p w:rsidR="00600066" w:rsidRDefault="00600066" w:rsidP="00D9359B">
      <w:pPr>
        <w:pStyle w:val="parafullout"/>
        <w:tabs>
          <w:tab w:val="right" w:leader="dot" w:pos="6492"/>
        </w:tabs>
        <w:rPr>
          <w:szCs w:val="22"/>
        </w:rPr>
      </w:pPr>
    </w:p>
    <w:p w:rsidR="00600066" w:rsidRPr="00C81370" w:rsidRDefault="00600066" w:rsidP="00600066">
      <w:pPr>
        <w:pStyle w:val="a-"/>
        <w:numPr>
          <w:ilvl w:val="0"/>
          <w:numId w:val="1"/>
        </w:numPr>
        <w:ind w:left="993"/>
      </w:pPr>
      <w:r>
        <w:t>meet</w:t>
      </w:r>
      <w:r w:rsidRPr="00C81370">
        <w:t xml:space="preserve"> all the eligibility criteria applicable to an audit firm and/or individual and have provided the necessary supporting documentation set out in section 22; </w:t>
      </w:r>
    </w:p>
    <w:p w:rsidR="00600066" w:rsidRPr="00C81370" w:rsidRDefault="00600066" w:rsidP="00600066">
      <w:pPr>
        <w:pStyle w:val="a-"/>
        <w:numPr>
          <w:ilvl w:val="0"/>
          <w:numId w:val="1"/>
        </w:numPr>
        <w:ind w:left="993"/>
      </w:pPr>
      <w:r>
        <w:t xml:space="preserve">am </w:t>
      </w:r>
      <w:r w:rsidRPr="00C81370">
        <w:t xml:space="preserve">in good standing with </w:t>
      </w:r>
      <w:r>
        <w:t>my</w:t>
      </w:r>
      <w:r w:rsidRPr="00C81370">
        <w:t xml:space="preserve"> regulatory and/or professional body;</w:t>
      </w:r>
    </w:p>
    <w:p w:rsidR="00600066" w:rsidRPr="00C81370" w:rsidRDefault="00600066" w:rsidP="00600066">
      <w:pPr>
        <w:pStyle w:val="a-"/>
        <w:numPr>
          <w:ilvl w:val="0"/>
          <w:numId w:val="1"/>
        </w:numPr>
        <w:ind w:left="993"/>
      </w:pPr>
      <w:r w:rsidRPr="00C81370">
        <w:t>have</w:t>
      </w:r>
      <w:r>
        <w:t xml:space="preserve"> not</w:t>
      </w:r>
      <w:r w:rsidRPr="00C81370">
        <w:t>:</w:t>
      </w:r>
    </w:p>
    <w:p w:rsidR="00600066" w:rsidRPr="00C81370" w:rsidRDefault="00600066" w:rsidP="00600066">
      <w:pPr>
        <w:pStyle w:val="bullet"/>
        <w:tabs>
          <w:tab w:val="left" w:pos="340"/>
          <w:tab w:val="left" w:pos="680"/>
        </w:tabs>
        <w:ind w:left="1701" w:hanging="283"/>
      </w:pPr>
      <w:r w:rsidRPr="00C81370">
        <w:t>•</w:t>
      </w:r>
      <w:r w:rsidRPr="00C81370">
        <w:tab/>
      </w:r>
      <w:proofErr w:type="gramStart"/>
      <w:r w:rsidRPr="00C81370">
        <w:t>at</w:t>
      </w:r>
      <w:proofErr w:type="gramEnd"/>
      <w:r w:rsidRPr="00C81370">
        <w:t xml:space="preserve"> any time been removed from an office of trust because of misconduct related to a discharge of that office;</w:t>
      </w:r>
    </w:p>
    <w:p w:rsidR="00600066" w:rsidRPr="00C81370" w:rsidRDefault="00600066" w:rsidP="00600066">
      <w:pPr>
        <w:pStyle w:val="bullet"/>
        <w:tabs>
          <w:tab w:val="left" w:pos="340"/>
          <w:tab w:val="left" w:pos="680"/>
        </w:tabs>
        <w:ind w:left="1701" w:hanging="283"/>
      </w:pPr>
      <w:r w:rsidRPr="00C81370">
        <w:t>•</w:t>
      </w:r>
      <w:r w:rsidRPr="00C81370">
        <w:tab/>
        <w:t xml:space="preserve">been convicted, whether in the Republic of South Africa or elsewhere, of theft, fraud, forgery, uttering a forged document, perjury, or any offence involving dishonesty; </w:t>
      </w:r>
    </w:p>
    <w:p w:rsidR="00600066" w:rsidRPr="00C81370" w:rsidRDefault="00600066" w:rsidP="00600066">
      <w:pPr>
        <w:pStyle w:val="bullet"/>
        <w:tabs>
          <w:tab w:val="left" w:pos="340"/>
          <w:tab w:val="left" w:pos="680"/>
        </w:tabs>
        <w:ind w:left="1701" w:hanging="283"/>
      </w:pPr>
      <w:r w:rsidRPr="00C81370">
        <w:t>•</w:t>
      </w:r>
      <w:r w:rsidRPr="00C81370">
        <w:tab/>
        <w:t>been found guilty of an offence under the FMA;</w:t>
      </w:r>
    </w:p>
    <w:p w:rsidR="00600066" w:rsidRPr="00C81370" w:rsidRDefault="00600066" w:rsidP="00600066">
      <w:pPr>
        <w:pStyle w:val="bullet"/>
        <w:tabs>
          <w:tab w:val="left" w:pos="340"/>
          <w:tab w:val="left" w:pos="680"/>
        </w:tabs>
        <w:ind w:left="1701" w:hanging="283"/>
      </w:pPr>
      <w:r w:rsidRPr="00C81370">
        <w:t>•</w:t>
      </w:r>
      <w:r w:rsidRPr="00C81370">
        <w:tab/>
        <w:t>been declared by a competent court to be of unsound mind or unable to manage their own affairs; or</w:t>
      </w:r>
    </w:p>
    <w:p w:rsidR="00600066" w:rsidRPr="00C81370" w:rsidRDefault="00600066" w:rsidP="00600066">
      <w:pPr>
        <w:pStyle w:val="bullet"/>
        <w:tabs>
          <w:tab w:val="left" w:pos="340"/>
          <w:tab w:val="left" w:pos="680"/>
        </w:tabs>
        <w:ind w:left="1701" w:hanging="283"/>
      </w:pPr>
      <w:r w:rsidRPr="00C81370">
        <w:t>•</w:t>
      </w:r>
      <w:r w:rsidRPr="00C81370">
        <w:tab/>
        <w:t xml:space="preserve">been provisionally sequestrated, entered into a compromise with creditors or been classified as an </w:t>
      </w:r>
      <w:proofErr w:type="spellStart"/>
      <w:r w:rsidRPr="00C81370">
        <w:rPr>
          <w:lang w:val="en-ZA"/>
        </w:rPr>
        <w:t>unrehabilitated</w:t>
      </w:r>
      <w:proofErr w:type="spellEnd"/>
      <w:r w:rsidRPr="00C81370">
        <w:t xml:space="preserve"> insolvent.</w:t>
      </w:r>
    </w:p>
    <w:p w:rsidR="00600066" w:rsidRPr="00C81370" w:rsidRDefault="00600066" w:rsidP="00600066">
      <w:pPr>
        <w:pStyle w:val="a-"/>
        <w:ind w:left="993"/>
      </w:pPr>
      <w:r w:rsidRPr="00C81370">
        <w:tab/>
      </w:r>
      <w:r w:rsidRPr="00C81370">
        <w:tab/>
      </w:r>
      <w:r w:rsidRPr="00265BE3">
        <w:rPr>
          <w:i/>
        </w:rPr>
        <w:t>[If a negative statement cannot be made, details must be provided</w:t>
      </w:r>
      <w:r>
        <w:t>]</w:t>
      </w:r>
      <w:r w:rsidR="005B0CE6">
        <w:t xml:space="preserve"> *</w:t>
      </w:r>
      <w:r w:rsidRPr="00C81370">
        <w:t>;</w:t>
      </w:r>
    </w:p>
    <w:p w:rsidR="00600066" w:rsidRPr="00C81370" w:rsidRDefault="00600066" w:rsidP="00600066">
      <w:pPr>
        <w:pStyle w:val="a-"/>
        <w:numPr>
          <w:ilvl w:val="0"/>
          <w:numId w:val="1"/>
        </w:numPr>
        <w:ind w:left="993"/>
      </w:pPr>
    </w:p>
    <w:p w:rsidR="00600066" w:rsidRPr="00C81370" w:rsidRDefault="00600066" w:rsidP="00600066">
      <w:pPr>
        <w:pStyle w:val="a-"/>
        <w:numPr>
          <w:ilvl w:val="1"/>
          <w:numId w:val="3"/>
        </w:numPr>
        <w:tabs>
          <w:tab w:val="clear" w:pos="510"/>
          <w:tab w:val="left" w:pos="1701"/>
        </w:tabs>
        <w:ind w:left="1701"/>
      </w:pPr>
      <w:r w:rsidRPr="00C81370">
        <w:t>have adequate experience, competency and capabilities in performing their work;</w:t>
      </w:r>
    </w:p>
    <w:p w:rsidR="00600066" w:rsidRPr="00C81370" w:rsidRDefault="00600066" w:rsidP="00600066">
      <w:pPr>
        <w:pStyle w:val="a-"/>
        <w:numPr>
          <w:ilvl w:val="1"/>
          <w:numId w:val="3"/>
        </w:numPr>
        <w:tabs>
          <w:tab w:val="clear" w:pos="510"/>
          <w:tab w:val="left" w:pos="993"/>
          <w:tab w:val="left" w:pos="1701"/>
        </w:tabs>
        <w:ind w:left="1701"/>
      </w:pPr>
      <w:r w:rsidRPr="00C81370">
        <w:t>a</w:t>
      </w:r>
      <w:r>
        <w:t>m</w:t>
      </w:r>
      <w:r w:rsidRPr="00C81370">
        <w:t xml:space="preserve"> familiar with the specific audit and financial reporting requirements applicable to applicant issuers and </w:t>
      </w:r>
      <w:r>
        <w:t>for my</w:t>
      </w:r>
      <w:r w:rsidRPr="00C81370">
        <w:t xml:space="preserve"> specific function; and </w:t>
      </w:r>
    </w:p>
    <w:p w:rsidR="00600066" w:rsidRPr="00C81370" w:rsidRDefault="00600066" w:rsidP="00600066">
      <w:pPr>
        <w:pStyle w:val="a-"/>
        <w:numPr>
          <w:ilvl w:val="1"/>
          <w:numId w:val="3"/>
        </w:numPr>
        <w:tabs>
          <w:tab w:val="clear" w:pos="510"/>
          <w:tab w:val="left" w:pos="993"/>
          <w:tab w:val="left" w:pos="1701"/>
        </w:tabs>
        <w:ind w:left="1701"/>
      </w:pPr>
      <w:r w:rsidRPr="00C81370">
        <w:t xml:space="preserve">have kept up to date in all relevant areas of technical training in order </w:t>
      </w:r>
      <w:r>
        <w:t xml:space="preserve">for me </w:t>
      </w:r>
      <w:r w:rsidRPr="00C81370">
        <w:t xml:space="preserve">to maintain competence in performing </w:t>
      </w:r>
      <w:r>
        <w:t>my</w:t>
      </w:r>
      <w:r w:rsidRPr="00C81370">
        <w:t xml:space="preserve"> work;</w:t>
      </w:r>
    </w:p>
    <w:p w:rsidR="00600066" w:rsidRPr="00C81370" w:rsidRDefault="00600066" w:rsidP="00600066">
      <w:pPr>
        <w:pStyle w:val="0000"/>
        <w:tabs>
          <w:tab w:val="clear" w:pos="794"/>
          <w:tab w:val="left" w:pos="-284"/>
          <w:tab w:val="left" w:pos="567"/>
        </w:tabs>
        <w:ind w:left="993" w:hanging="426"/>
      </w:pPr>
      <w:r w:rsidRPr="00C81370">
        <w:t>(</w:t>
      </w:r>
      <w:r>
        <w:t>5</w:t>
      </w:r>
      <w:r w:rsidRPr="00C81370">
        <w:t xml:space="preserve">)  confirm that </w:t>
      </w:r>
      <w:r>
        <w:t>I have not been</w:t>
      </w:r>
      <w:r w:rsidRPr="00C81370">
        <w:t xml:space="preserve"> party to any of the matters set out in paragraphs 22.15(f), and 22.21 or, if so, to provide details to the JSE thereof</w:t>
      </w:r>
      <w:r w:rsidR="005B0CE6">
        <w:t>*</w:t>
      </w:r>
      <w:r w:rsidRPr="00C81370">
        <w:t xml:space="preserve"> and also undertake to notified the JSE, within the specified timeframes, of any of the matters set out in paragraphs 22.15(f) and 22.21 that arise in the future;</w:t>
      </w:r>
    </w:p>
    <w:p w:rsidR="00600066" w:rsidRPr="00C81370" w:rsidRDefault="00600066" w:rsidP="005B0CE6">
      <w:pPr>
        <w:pStyle w:val="a-"/>
        <w:numPr>
          <w:ilvl w:val="0"/>
          <w:numId w:val="5"/>
        </w:numPr>
        <w:tabs>
          <w:tab w:val="clear" w:pos="510"/>
          <w:tab w:val="left" w:pos="-142"/>
          <w:tab w:val="left" w:pos="993"/>
        </w:tabs>
        <w:ind w:left="993"/>
      </w:pPr>
      <w:r>
        <w:t>am</w:t>
      </w:r>
      <w:r w:rsidRPr="00C81370">
        <w:t xml:space="preserve"> aware of and have considered the IFRS matters identified by the JSE proactive monitoring process and/or the FRIP, as set out on the JSE and SAICA websites;</w:t>
      </w:r>
    </w:p>
    <w:p w:rsidR="00600066" w:rsidRPr="00C81370" w:rsidRDefault="00600066" w:rsidP="005B0CE6">
      <w:pPr>
        <w:pStyle w:val="a-"/>
        <w:numPr>
          <w:ilvl w:val="0"/>
          <w:numId w:val="5"/>
        </w:numPr>
        <w:tabs>
          <w:tab w:val="clear" w:pos="510"/>
          <w:tab w:val="left" w:pos="993"/>
          <w:tab w:val="left" w:pos="1276"/>
          <w:tab w:val="left" w:pos="1843"/>
          <w:tab w:val="left" w:pos="2127"/>
        </w:tabs>
        <w:spacing w:before="30"/>
        <w:ind w:left="993" w:hanging="426"/>
      </w:pPr>
      <w:r w:rsidRPr="00C81370">
        <w:rPr>
          <w:szCs w:val="22"/>
        </w:rPr>
        <w:t>a</w:t>
      </w:r>
      <w:r>
        <w:rPr>
          <w:szCs w:val="22"/>
        </w:rPr>
        <w:t>m</w:t>
      </w:r>
      <w:r w:rsidRPr="00C81370">
        <w:rPr>
          <w:szCs w:val="22"/>
        </w:rPr>
        <w:t xml:space="preserve"> aware of and have considered IRBA and/or SAICA guidance applicable to reporting accountants and auditors of applicant issuers;</w:t>
      </w:r>
    </w:p>
    <w:p w:rsidR="00600066" w:rsidRPr="00C81370" w:rsidRDefault="00600066" w:rsidP="005B0CE6">
      <w:pPr>
        <w:pStyle w:val="a-"/>
        <w:numPr>
          <w:ilvl w:val="0"/>
          <w:numId w:val="5"/>
        </w:numPr>
        <w:tabs>
          <w:tab w:val="clear" w:pos="510"/>
          <w:tab w:val="left" w:pos="993"/>
          <w:tab w:val="left" w:pos="1276"/>
          <w:tab w:val="left" w:pos="1843"/>
          <w:tab w:val="left" w:pos="2127"/>
        </w:tabs>
        <w:spacing w:before="30"/>
        <w:ind w:left="993" w:hanging="426"/>
      </w:pPr>
      <w:r w:rsidRPr="00C81370">
        <w:t>agree to discharge their responsibilities in terms of this section 22</w:t>
      </w:r>
      <w:r>
        <w:t xml:space="preserve"> </w:t>
      </w:r>
      <w:r w:rsidRPr="00C81370">
        <w:t xml:space="preserve">and to thus assist the JSE in upholding the integrity of the markets operated by the JSE; </w:t>
      </w:r>
    </w:p>
    <w:p w:rsidR="00600066" w:rsidRPr="00C81370" w:rsidRDefault="00600066" w:rsidP="005B0CE6">
      <w:pPr>
        <w:pStyle w:val="0000"/>
        <w:numPr>
          <w:ilvl w:val="0"/>
          <w:numId w:val="5"/>
        </w:numPr>
        <w:tabs>
          <w:tab w:val="clear" w:pos="794"/>
          <w:tab w:val="left" w:pos="-142"/>
          <w:tab w:val="left" w:pos="993"/>
          <w:tab w:val="left" w:pos="1843"/>
          <w:tab w:val="left" w:pos="2127"/>
        </w:tabs>
        <w:ind w:left="993" w:hanging="426"/>
      </w:pPr>
      <w:r w:rsidRPr="00C81370">
        <w:t>will not intentionally or recklessly bring the integrity of the markets operated by the JSE into disrepute; and</w:t>
      </w:r>
    </w:p>
    <w:p w:rsidR="00600066" w:rsidRPr="00C81370" w:rsidRDefault="00600066" w:rsidP="005B0CE6">
      <w:pPr>
        <w:pStyle w:val="0000"/>
        <w:numPr>
          <w:ilvl w:val="0"/>
          <w:numId w:val="5"/>
        </w:numPr>
        <w:tabs>
          <w:tab w:val="clear" w:pos="794"/>
          <w:tab w:val="left" w:pos="-142"/>
          <w:tab w:val="left" w:pos="993"/>
          <w:tab w:val="left" w:pos="1843"/>
          <w:tab w:val="left" w:pos="2127"/>
        </w:tabs>
        <w:ind w:left="993" w:hanging="426"/>
      </w:pPr>
      <w:proofErr w:type="gramStart"/>
      <w:r w:rsidRPr="00C81370">
        <w:t>give</w:t>
      </w:r>
      <w:proofErr w:type="gramEnd"/>
      <w:r w:rsidRPr="00C81370">
        <w:t xml:space="preserve"> the JSE permission to obtain and share information and consult with professional bodies to whom it belongs and regulators to whom it is accountable, in matters that are of relevance to the JSE.</w:t>
      </w:r>
      <w:r w:rsidRPr="00C81370">
        <w:rPr>
          <w:rStyle w:val="FootnoteReference"/>
        </w:rPr>
        <w:footnoteReference w:customMarkFollows="1" w:id="1"/>
        <w:t> </w:t>
      </w:r>
    </w:p>
    <w:p w:rsidR="00600066" w:rsidRDefault="00600066" w:rsidP="00D9359B">
      <w:pPr>
        <w:pStyle w:val="parafullout"/>
        <w:tabs>
          <w:tab w:val="right" w:leader="dot" w:pos="6492"/>
        </w:tabs>
        <w:rPr>
          <w:szCs w:val="22"/>
        </w:rPr>
      </w:pPr>
    </w:p>
    <w:p w:rsidR="00600066" w:rsidRDefault="00600066" w:rsidP="00D9359B">
      <w:pPr>
        <w:pStyle w:val="parafullout"/>
        <w:tabs>
          <w:tab w:val="right" w:leader="dot" w:pos="6492"/>
        </w:tabs>
        <w:rPr>
          <w:szCs w:val="22"/>
        </w:rPr>
      </w:pPr>
    </w:p>
    <w:p w:rsidR="00600066" w:rsidRDefault="00600066" w:rsidP="00D9359B">
      <w:pPr>
        <w:pStyle w:val="parafullout"/>
        <w:tabs>
          <w:tab w:val="right" w:leader="dot" w:pos="6492"/>
        </w:tabs>
        <w:rPr>
          <w:szCs w:val="22"/>
        </w:rPr>
      </w:pPr>
    </w:p>
    <w:p w:rsidR="00D9359B" w:rsidRDefault="00D9359B" w:rsidP="00D9359B">
      <w:pPr>
        <w:pStyle w:val="parafullout"/>
        <w:tabs>
          <w:tab w:val="right" w:leader="dot" w:pos="6492"/>
        </w:tabs>
        <w:rPr>
          <w:szCs w:val="22"/>
        </w:rPr>
      </w:pPr>
      <w:r w:rsidRPr="00D9359B">
        <w:rPr>
          <w:szCs w:val="22"/>
        </w:rPr>
        <w:t>Signature:</w:t>
      </w:r>
      <w:r w:rsidRPr="00D9359B">
        <w:rPr>
          <w:szCs w:val="22"/>
        </w:rPr>
        <w:tab/>
      </w:r>
    </w:p>
    <w:p w:rsidR="000C6B65" w:rsidRPr="00D9359B" w:rsidRDefault="000C6B65" w:rsidP="00D9359B">
      <w:pPr>
        <w:pStyle w:val="parafullout"/>
        <w:tabs>
          <w:tab w:val="right" w:leader="dot" w:pos="6492"/>
        </w:tabs>
        <w:rPr>
          <w:szCs w:val="22"/>
        </w:rPr>
      </w:pPr>
    </w:p>
    <w:p w:rsidR="00D9359B" w:rsidRDefault="00D9359B" w:rsidP="00D9359B">
      <w:pPr>
        <w:pStyle w:val="parafullout"/>
        <w:tabs>
          <w:tab w:val="right" w:leader="dot" w:pos="6492"/>
        </w:tabs>
        <w:rPr>
          <w:szCs w:val="22"/>
        </w:rPr>
      </w:pPr>
      <w:r w:rsidRPr="00D9359B">
        <w:rPr>
          <w:szCs w:val="22"/>
        </w:rPr>
        <w:t>Name:</w:t>
      </w:r>
      <w:r w:rsidRPr="00D9359B">
        <w:rPr>
          <w:szCs w:val="22"/>
        </w:rPr>
        <w:tab/>
      </w:r>
    </w:p>
    <w:p w:rsidR="000C6B65" w:rsidRPr="00D9359B" w:rsidRDefault="000C6B65" w:rsidP="00D9359B">
      <w:pPr>
        <w:pStyle w:val="parafullout"/>
        <w:tabs>
          <w:tab w:val="right" w:leader="dot" w:pos="6492"/>
        </w:tabs>
        <w:rPr>
          <w:szCs w:val="22"/>
        </w:rPr>
      </w:pPr>
    </w:p>
    <w:p w:rsidR="00D9359B" w:rsidRPr="00D9359B" w:rsidRDefault="00D9359B" w:rsidP="00D9359B">
      <w:pPr>
        <w:pStyle w:val="parafullout"/>
        <w:tabs>
          <w:tab w:val="right" w:leader="dot" w:pos="6492"/>
        </w:tabs>
        <w:rPr>
          <w:szCs w:val="22"/>
        </w:rPr>
      </w:pPr>
      <w:r w:rsidRPr="00D9359B">
        <w:rPr>
          <w:szCs w:val="22"/>
        </w:rPr>
        <w:t>Date:</w:t>
      </w:r>
      <w:r w:rsidRPr="00D9359B">
        <w:rPr>
          <w:szCs w:val="22"/>
        </w:rPr>
        <w:tab/>
      </w:r>
    </w:p>
    <w:p w:rsidR="0042729C" w:rsidRDefault="0042729C" w:rsidP="00D9359B">
      <w:pPr>
        <w:jc w:val="both"/>
      </w:pPr>
    </w:p>
    <w:p w:rsidR="005B0CE6" w:rsidRPr="009F16AA" w:rsidRDefault="005B0CE6" w:rsidP="00D9359B">
      <w:pPr>
        <w:jc w:val="both"/>
        <w:rPr>
          <w:rFonts w:ascii="Times New Roman" w:eastAsia="Times New Roman" w:hAnsi="Times New Roman" w:cs="Times New Roman"/>
          <w:szCs w:val="20"/>
          <w:lang w:val="en-GB"/>
        </w:rPr>
      </w:pPr>
      <w:r w:rsidRPr="009F16AA">
        <w:rPr>
          <w:rFonts w:ascii="Times New Roman" w:eastAsia="Times New Roman" w:hAnsi="Times New Roman" w:cs="Times New Roman"/>
          <w:szCs w:val="20"/>
          <w:lang w:val="en-GB"/>
        </w:rPr>
        <w:t xml:space="preserve">* </w:t>
      </w:r>
      <w:proofErr w:type="gramStart"/>
      <w:r w:rsidRPr="009F16AA">
        <w:rPr>
          <w:rFonts w:ascii="Times New Roman" w:eastAsia="Times New Roman" w:hAnsi="Times New Roman" w:cs="Times New Roman"/>
          <w:szCs w:val="20"/>
          <w:lang w:val="en-GB"/>
        </w:rPr>
        <w:t>if</w:t>
      </w:r>
      <w:proofErr w:type="gramEnd"/>
      <w:r w:rsidRPr="009F16AA">
        <w:rPr>
          <w:rFonts w:ascii="Times New Roman" w:eastAsia="Times New Roman" w:hAnsi="Times New Roman" w:cs="Times New Roman"/>
          <w:szCs w:val="20"/>
          <w:lang w:val="en-GB"/>
        </w:rPr>
        <w:t xml:space="preserve"> any of </w:t>
      </w:r>
      <w:r w:rsidRPr="002D569A">
        <w:rPr>
          <w:rFonts w:ascii="Times New Roman" w:eastAsia="Times New Roman" w:hAnsi="Times New Roman" w:cs="Times New Roman"/>
          <w:szCs w:val="20"/>
          <w:lang w:val="en-GB"/>
        </w:rPr>
        <w:t>these</w:t>
      </w:r>
      <w:r w:rsidRPr="009F16AA">
        <w:rPr>
          <w:rFonts w:ascii="Times New Roman" w:eastAsia="Times New Roman" w:hAnsi="Times New Roman" w:cs="Times New Roman"/>
          <w:szCs w:val="20"/>
          <w:lang w:val="en-GB"/>
        </w:rPr>
        <w:t xml:space="preserve"> matters </w:t>
      </w:r>
      <w:r>
        <w:rPr>
          <w:rFonts w:ascii="Times New Roman" w:eastAsia="Times New Roman" w:hAnsi="Times New Roman" w:cs="Times New Roman"/>
          <w:szCs w:val="20"/>
          <w:lang w:val="en-GB"/>
        </w:rPr>
        <w:t>exist, the individual is invited to provide a detailed motivation as to why, despite the presence of such matters, they believe that the JSE should accredit them.</w:t>
      </w:r>
    </w:p>
    <w:sectPr w:rsidR="005B0CE6" w:rsidRPr="009F1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23C" w:rsidRDefault="00D9723C" w:rsidP="00D9359B">
      <w:pPr>
        <w:spacing w:after="0" w:line="240" w:lineRule="auto"/>
      </w:pPr>
      <w:r>
        <w:separator/>
      </w:r>
    </w:p>
  </w:endnote>
  <w:endnote w:type="continuationSeparator" w:id="0">
    <w:p w:rsidR="00D9723C" w:rsidRDefault="00D9723C" w:rsidP="00D9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23C" w:rsidRDefault="00D9723C" w:rsidP="00D9359B">
      <w:pPr>
        <w:spacing w:after="0" w:line="240" w:lineRule="auto"/>
      </w:pPr>
      <w:r>
        <w:separator/>
      </w:r>
    </w:p>
  </w:footnote>
  <w:footnote w:type="continuationSeparator" w:id="0">
    <w:p w:rsidR="00D9723C" w:rsidRDefault="00D9723C" w:rsidP="00D9359B">
      <w:pPr>
        <w:spacing w:after="0" w:line="240" w:lineRule="auto"/>
      </w:pPr>
      <w:r>
        <w:continuationSeparator/>
      </w:r>
    </w:p>
  </w:footnote>
  <w:footnote w:id="1">
    <w:p w:rsidR="00600066" w:rsidRPr="008E4882" w:rsidRDefault="00600066" w:rsidP="00600066">
      <w:pPr>
        <w:pStyle w:val="FootnoteText"/>
        <w:rPr>
          <w:lang w:val="en-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49"/>
    <w:multiLevelType w:val="hybridMultilevel"/>
    <w:tmpl w:val="A40E2300"/>
    <w:lvl w:ilvl="0" w:tplc="11FEB4D2">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151F7A"/>
    <w:multiLevelType w:val="hybridMultilevel"/>
    <w:tmpl w:val="A40E2300"/>
    <w:lvl w:ilvl="0" w:tplc="11FEB4D2">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95D6E99"/>
    <w:multiLevelType w:val="hybridMultilevel"/>
    <w:tmpl w:val="802EE9AA"/>
    <w:lvl w:ilvl="0" w:tplc="1BBC7234">
      <w:start w:val="2"/>
      <w:numFmt w:val="bullet"/>
      <w:lvlText w:val="•"/>
      <w:lvlJc w:val="left"/>
      <w:pPr>
        <w:ind w:left="720" w:hanging="360"/>
      </w:pPr>
      <w:rPr>
        <w:rFonts w:ascii="Times New Roman" w:eastAsia="Times New Roman" w:hAnsi="Times New Roman" w:cs="Times New Roman" w:hint="default"/>
      </w:rPr>
    </w:lvl>
    <w:lvl w:ilvl="1" w:tplc="1BBC7234">
      <w:start w:val="2"/>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70D7BFF"/>
    <w:multiLevelType w:val="hybridMultilevel"/>
    <w:tmpl w:val="D2CA096E"/>
    <w:lvl w:ilvl="0" w:tplc="24202640">
      <w:start w:val="2"/>
      <w:numFmt w:val="bullet"/>
      <w:lvlText w:val="•"/>
      <w:lvlJc w:val="left"/>
      <w:pPr>
        <w:ind w:left="2061" w:hanging="360"/>
      </w:pPr>
      <w:rPr>
        <w:rFonts w:ascii="Times New Roman" w:eastAsia="Times New Roman" w:hAnsi="Times New Roman" w:cs="Times New Roman"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4" w15:restartNumberingAfterBreak="0">
    <w:nsid w:val="58C37C7A"/>
    <w:multiLevelType w:val="hybridMultilevel"/>
    <w:tmpl w:val="5EB0FDF4"/>
    <w:lvl w:ilvl="0" w:tplc="11786884">
      <w:start w:val="1"/>
      <w:numFmt w:val="decimal"/>
      <w:lvlText w:val="(%1)"/>
      <w:lvlJc w:val="left"/>
      <w:pPr>
        <w:ind w:left="2203" w:hanging="360"/>
      </w:pPr>
      <w:rPr>
        <w:rFonts w:hint="default"/>
      </w:rPr>
    </w:lvl>
    <w:lvl w:ilvl="1" w:tplc="1C090001">
      <w:start w:val="1"/>
      <w:numFmt w:val="bullet"/>
      <w:lvlText w:val=""/>
      <w:lvlJc w:val="left"/>
      <w:pPr>
        <w:ind w:left="2923" w:hanging="360"/>
      </w:pPr>
      <w:rPr>
        <w:rFonts w:ascii="Symbol" w:hAnsi="Symbol" w:hint="default"/>
      </w:rPr>
    </w:lvl>
    <w:lvl w:ilvl="2" w:tplc="1C09001B" w:tentative="1">
      <w:start w:val="1"/>
      <w:numFmt w:val="lowerRoman"/>
      <w:lvlText w:val="%3."/>
      <w:lvlJc w:val="right"/>
      <w:pPr>
        <w:ind w:left="3643" w:hanging="180"/>
      </w:pPr>
    </w:lvl>
    <w:lvl w:ilvl="3" w:tplc="1C09000F" w:tentative="1">
      <w:start w:val="1"/>
      <w:numFmt w:val="decimal"/>
      <w:lvlText w:val="%4."/>
      <w:lvlJc w:val="left"/>
      <w:pPr>
        <w:ind w:left="4363" w:hanging="360"/>
      </w:pPr>
    </w:lvl>
    <w:lvl w:ilvl="4" w:tplc="1C090019" w:tentative="1">
      <w:start w:val="1"/>
      <w:numFmt w:val="lowerLetter"/>
      <w:lvlText w:val="%5."/>
      <w:lvlJc w:val="left"/>
      <w:pPr>
        <w:ind w:left="5083" w:hanging="360"/>
      </w:pPr>
    </w:lvl>
    <w:lvl w:ilvl="5" w:tplc="1C09001B" w:tentative="1">
      <w:start w:val="1"/>
      <w:numFmt w:val="lowerRoman"/>
      <w:lvlText w:val="%6."/>
      <w:lvlJc w:val="right"/>
      <w:pPr>
        <w:ind w:left="5803" w:hanging="180"/>
      </w:pPr>
    </w:lvl>
    <w:lvl w:ilvl="6" w:tplc="1C09000F" w:tentative="1">
      <w:start w:val="1"/>
      <w:numFmt w:val="decimal"/>
      <w:lvlText w:val="%7."/>
      <w:lvlJc w:val="left"/>
      <w:pPr>
        <w:ind w:left="6523" w:hanging="360"/>
      </w:pPr>
    </w:lvl>
    <w:lvl w:ilvl="7" w:tplc="1C090019" w:tentative="1">
      <w:start w:val="1"/>
      <w:numFmt w:val="lowerLetter"/>
      <w:lvlText w:val="%8."/>
      <w:lvlJc w:val="left"/>
      <w:pPr>
        <w:ind w:left="7243" w:hanging="360"/>
      </w:pPr>
    </w:lvl>
    <w:lvl w:ilvl="8" w:tplc="1C09001B" w:tentative="1">
      <w:start w:val="1"/>
      <w:numFmt w:val="lowerRoman"/>
      <w:lvlText w:val="%9."/>
      <w:lvlJc w:val="right"/>
      <w:pPr>
        <w:ind w:left="7963" w:hanging="180"/>
      </w:pPr>
    </w:lvl>
  </w:abstractNum>
  <w:abstractNum w:abstractNumId="5" w15:restartNumberingAfterBreak="0">
    <w:nsid w:val="5B102F8E"/>
    <w:multiLevelType w:val="hybridMultilevel"/>
    <w:tmpl w:val="0B4CA3A2"/>
    <w:lvl w:ilvl="0" w:tplc="8F5EAFF4">
      <w:start w:val="6"/>
      <w:numFmt w:val="decimal"/>
      <w:lvlText w:val="(%1)"/>
      <w:lvlJc w:val="left"/>
      <w:pPr>
        <w:ind w:left="220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C9F524A"/>
    <w:multiLevelType w:val="hybridMultilevel"/>
    <w:tmpl w:val="387C4992"/>
    <w:lvl w:ilvl="0" w:tplc="89A02AE4">
      <w:start w:val="9"/>
      <w:numFmt w:val="decimal"/>
      <w:lvlText w:val="(%1)"/>
      <w:lvlJc w:val="left"/>
      <w:pPr>
        <w:ind w:left="220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0E"/>
    <w:rsid w:val="0002205B"/>
    <w:rsid w:val="000C6B65"/>
    <w:rsid w:val="00253F83"/>
    <w:rsid w:val="00265BE3"/>
    <w:rsid w:val="00284414"/>
    <w:rsid w:val="002B4703"/>
    <w:rsid w:val="002D569A"/>
    <w:rsid w:val="00311EC2"/>
    <w:rsid w:val="0042729C"/>
    <w:rsid w:val="00483EFC"/>
    <w:rsid w:val="004D440E"/>
    <w:rsid w:val="004F2D98"/>
    <w:rsid w:val="00525C1C"/>
    <w:rsid w:val="005B0CE6"/>
    <w:rsid w:val="00600066"/>
    <w:rsid w:val="006B656D"/>
    <w:rsid w:val="00705A60"/>
    <w:rsid w:val="007A10FE"/>
    <w:rsid w:val="00924509"/>
    <w:rsid w:val="009F16AA"/>
    <w:rsid w:val="00A16434"/>
    <w:rsid w:val="00A90CFB"/>
    <w:rsid w:val="00B375D0"/>
    <w:rsid w:val="00B57DB2"/>
    <w:rsid w:val="00BF069B"/>
    <w:rsid w:val="00BF0750"/>
    <w:rsid w:val="00C2237E"/>
    <w:rsid w:val="00CE79AB"/>
    <w:rsid w:val="00D42A3A"/>
    <w:rsid w:val="00D9359B"/>
    <w:rsid w:val="00D9723C"/>
    <w:rsid w:val="00E6067E"/>
    <w:rsid w:val="00EB35B6"/>
    <w:rsid w:val="00EB6D42"/>
    <w:rsid w:val="00ED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C97A"/>
  <w15:docId w15:val="{E4349B6E-35D8-4374-AE2B-0AD230E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fullout">
    <w:name w:val="parafullout"/>
    <w:basedOn w:val="Normal"/>
    <w:rsid w:val="00D9359B"/>
    <w:pPr>
      <w:widowControl w:val="0"/>
      <w:spacing w:before="120" w:after="0" w:line="240" w:lineRule="auto"/>
      <w:jc w:val="both"/>
    </w:pPr>
    <w:rPr>
      <w:rFonts w:ascii="Times New Roman" w:eastAsia="Times New Roman" w:hAnsi="Times New Roman" w:cs="Times New Roman"/>
      <w:szCs w:val="20"/>
      <w:lang w:val="en-GB"/>
    </w:rPr>
  </w:style>
  <w:style w:type="paragraph" w:customStyle="1" w:styleId="head2">
    <w:name w:val="head2"/>
    <w:basedOn w:val="Normal"/>
    <w:rsid w:val="00D9359B"/>
    <w:pPr>
      <w:widowControl w:val="0"/>
      <w:spacing w:before="300" w:after="0" w:line="240" w:lineRule="auto"/>
    </w:pPr>
    <w:rPr>
      <w:rFonts w:ascii="Times New Roman" w:eastAsia="Times New Roman" w:hAnsi="Times New Roman" w:cs="Times New Roman"/>
      <w:b/>
      <w:szCs w:val="20"/>
      <w:lang w:val="en-GB"/>
    </w:rPr>
  </w:style>
  <w:style w:type="paragraph" w:customStyle="1" w:styleId="boldhead">
    <w:name w:val="boldhead"/>
    <w:basedOn w:val="Normal"/>
    <w:rsid w:val="00D9359B"/>
    <w:pPr>
      <w:widowControl w:val="0"/>
      <w:tabs>
        <w:tab w:val="left" w:pos="567"/>
      </w:tabs>
      <w:spacing w:before="240" w:after="0" w:line="260" w:lineRule="exact"/>
      <w:ind w:left="567" w:hanging="567"/>
      <w:jc w:val="both"/>
    </w:pPr>
    <w:rPr>
      <w:rFonts w:ascii="Times New Roman" w:eastAsia="Times New Roman" w:hAnsi="Times New Roman" w:cs="Times New Roman"/>
      <w:b/>
      <w:szCs w:val="20"/>
      <w:lang w:val="en-GB"/>
    </w:rPr>
  </w:style>
  <w:style w:type="paragraph" w:customStyle="1" w:styleId="a-">
    <w:name w:val="(a)-"/>
    <w:basedOn w:val="Normal"/>
    <w:rsid w:val="00D9359B"/>
    <w:pPr>
      <w:widowControl w:val="0"/>
      <w:tabs>
        <w:tab w:val="left" w:pos="510"/>
      </w:tabs>
      <w:spacing w:before="120" w:after="0" w:line="240" w:lineRule="auto"/>
      <w:ind w:left="510" w:hanging="510"/>
      <w:jc w:val="both"/>
    </w:pPr>
    <w:rPr>
      <w:rFonts w:ascii="Times New Roman" w:eastAsia="Times New Roman" w:hAnsi="Times New Roman" w:cs="Times New Roman"/>
      <w:szCs w:val="20"/>
      <w:lang w:val="en-GB"/>
    </w:rPr>
  </w:style>
  <w:style w:type="paragraph" w:customStyle="1" w:styleId="bullet">
    <w:name w:val="bullet"/>
    <w:basedOn w:val="Normal"/>
    <w:rsid w:val="00D9359B"/>
    <w:pPr>
      <w:tabs>
        <w:tab w:val="left" w:pos="510"/>
      </w:tabs>
      <w:spacing w:before="60" w:after="0" w:line="240" w:lineRule="auto"/>
      <w:ind w:left="510" w:hanging="510"/>
      <w:jc w:val="both"/>
    </w:pPr>
    <w:rPr>
      <w:rFonts w:ascii="Times New Roman" w:eastAsia="Times New Roman" w:hAnsi="Times New Roman" w:cs="Times New Roman"/>
      <w:szCs w:val="20"/>
      <w:lang w:val="en-GB"/>
    </w:rPr>
  </w:style>
  <w:style w:type="character" w:styleId="FootnoteReference">
    <w:name w:val="footnote reference"/>
    <w:uiPriority w:val="99"/>
    <w:rsid w:val="00D9359B"/>
    <w:rPr>
      <w:vertAlign w:val="superscript"/>
    </w:rPr>
  </w:style>
  <w:style w:type="paragraph" w:styleId="FootnoteText">
    <w:name w:val="footnote text"/>
    <w:basedOn w:val="Normal"/>
    <w:link w:val="FootnoteTextChar"/>
    <w:uiPriority w:val="99"/>
    <w:rsid w:val="00D9359B"/>
    <w:pPr>
      <w:widowControl w:val="0"/>
      <w:spacing w:before="120"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9359B"/>
    <w:rPr>
      <w:rFonts w:ascii="Times New Roman" w:eastAsia="Times New Roman" w:hAnsi="Times New Roman" w:cs="Times New Roman"/>
      <w:sz w:val="20"/>
      <w:szCs w:val="20"/>
      <w:lang w:val="en-GB"/>
    </w:rPr>
  </w:style>
  <w:style w:type="paragraph" w:customStyle="1" w:styleId="0000">
    <w:name w:val="00.00"/>
    <w:basedOn w:val="Normal"/>
    <w:rsid w:val="0002205B"/>
    <w:pPr>
      <w:widowControl w:val="0"/>
      <w:tabs>
        <w:tab w:val="left" w:pos="794"/>
      </w:tabs>
      <w:spacing w:before="120" w:after="0" w:line="240" w:lineRule="auto"/>
      <w:ind w:left="794" w:hanging="794"/>
      <w:jc w:val="both"/>
    </w:pPr>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2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E3"/>
    <w:rPr>
      <w:rFonts w:ascii="Tahoma" w:hAnsi="Tahoma" w:cs="Tahoma"/>
      <w:sz w:val="16"/>
      <w:szCs w:val="16"/>
    </w:rPr>
  </w:style>
  <w:style w:type="paragraph" w:styleId="ListParagraph">
    <w:name w:val="List Paragraph"/>
    <w:basedOn w:val="Normal"/>
    <w:uiPriority w:val="34"/>
    <w:qFormat/>
    <w:rsid w:val="005B0CE6"/>
    <w:pPr>
      <w:ind w:left="720"/>
      <w:contextualSpacing/>
    </w:pPr>
  </w:style>
  <w:style w:type="character" w:styleId="CommentReference">
    <w:name w:val="annotation reference"/>
    <w:basedOn w:val="DefaultParagraphFont"/>
    <w:uiPriority w:val="99"/>
    <w:semiHidden/>
    <w:unhideWhenUsed/>
    <w:rsid w:val="002D569A"/>
    <w:rPr>
      <w:sz w:val="16"/>
      <w:szCs w:val="16"/>
    </w:rPr>
  </w:style>
  <w:style w:type="paragraph" w:styleId="CommentText">
    <w:name w:val="annotation text"/>
    <w:basedOn w:val="Normal"/>
    <w:link w:val="CommentTextChar"/>
    <w:uiPriority w:val="99"/>
    <w:semiHidden/>
    <w:unhideWhenUsed/>
    <w:rsid w:val="002D569A"/>
    <w:pPr>
      <w:spacing w:line="240" w:lineRule="auto"/>
    </w:pPr>
    <w:rPr>
      <w:sz w:val="20"/>
      <w:szCs w:val="20"/>
    </w:rPr>
  </w:style>
  <w:style w:type="character" w:customStyle="1" w:styleId="CommentTextChar">
    <w:name w:val="Comment Text Char"/>
    <w:basedOn w:val="DefaultParagraphFont"/>
    <w:link w:val="CommentText"/>
    <w:uiPriority w:val="99"/>
    <w:semiHidden/>
    <w:rsid w:val="002D569A"/>
    <w:rPr>
      <w:sz w:val="20"/>
      <w:szCs w:val="20"/>
    </w:rPr>
  </w:style>
  <w:style w:type="paragraph" w:styleId="CommentSubject">
    <w:name w:val="annotation subject"/>
    <w:basedOn w:val="CommentText"/>
    <w:next w:val="CommentText"/>
    <w:link w:val="CommentSubjectChar"/>
    <w:uiPriority w:val="99"/>
    <w:semiHidden/>
    <w:unhideWhenUsed/>
    <w:rsid w:val="002D569A"/>
    <w:rPr>
      <w:b/>
      <w:bCs/>
    </w:rPr>
  </w:style>
  <w:style w:type="character" w:customStyle="1" w:styleId="CommentSubjectChar">
    <w:name w:val="Comment Subject Char"/>
    <w:basedOn w:val="CommentTextChar"/>
    <w:link w:val="CommentSubject"/>
    <w:uiPriority w:val="99"/>
    <w:semiHidden/>
    <w:rsid w:val="002D569A"/>
    <w:rPr>
      <w:b/>
      <w:bCs/>
      <w:sz w:val="20"/>
      <w:szCs w:val="20"/>
    </w:rPr>
  </w:style>
  <w:style w:type="paragraph" w:styleId="Revision">
    <w:name w:val="Revision"/>
    <w:hidden/>
    <w:uiPriority w:val="99"/>
    <w:semiHidden/>
    <w:rsid w:val="002D569A"/>
    <w:pPr>
      <w:spacing w:after="0" w:line="240" w:lineRule="auto"/>
    </w:pPr>
  </w:style>
  <w:style w:type="paragraph" w:customStyle="1" w:styleId="tabletext">
    <w:name w:val="tabletext"/>
    <w:basedOn w:val="Normal"/>
    <w:rsid w:val="006B656D"/>
    <w:pPr>
      <w:widowControl w:val="0"/>
      <w:spacing w:after="0" w:line="240" w:lineRule="auto"/>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6B656D"/>
    <w:rPr>
      <w:color w:val="0000FF" w:themeColor="hyperlink"/>
      <w:u w:val="single"/>
    </w:rPr>
  </w:style>
  <w:style w:type="paragraph" w:customStyle="1" w:styleId="a-000">
    <w:name w:val="(a)-0.00"/>
    <w:basedOn w:val="Normal"/>
    <w:rsid w:val="006B656D"/>
    <w:pPr>
      <w:widowControl w:val="0"/>
      <w:tabs>
        <w:tab w:val="left" w:pos="794"/>
        <w:tab w:val="left" w:pos="1304"/>
      </w:tabs>
      <w:spacing w:before="120" w:after="0" w:line="240" w:lineRule="auto"/>
      <w:ind w:left="1304" w:hanging="1304"/>
      <w:jc w:val="both"/>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uditoraccreditation@jse.co.z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2014-09-24T22:00:00+00:00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3E449-4C72-4756-814C-A8D10FB30441}">
  <ds:schemaRefs>
    <ds:schemaRef ds:uri="http://schemas.microsoft.com/office/2006/metadata/properties"/>
    <ds:schemaRef ds:uri="http://schemas.microsoft.com/office/infopath/2007/PartnerControls"/>
    <ds:schemaRef ds:uri="a5d7cc70-31c1-4b2e-9a12-faea9898ee50"/>
  </ds:schemaRefs>
</ds:datastoreItem>
</file>

<file path=customXml/itemProps2.xml><?xml version="1.0" encoding="utf-8"?>
<ds:datastoreItem xmlns:ds="http://schemas.openxmlformats.org/officeDocument/2006/customXml" ds:itemID="{9BA69653-5333-4965-AE04-BF8C4E3E875C}">
  <ds:schemaRefs>
    <ds:schemaRef ds:uri="http://schemas.microsoft.com/sharepoint/v3/contenttype/forms"/>
  </ds:schemaRefs>
</ds:datastoreItem>
</file>

<file path=customXml/itemProps3.xml><?xml version="1.0" encoding="utf-8"?>
<ds:datastoreItem xmlns:ds="http://schemas.openxmlformats.org/officeDocument/2006/customXml" ds:itemID="{D1607119-93C5-4E4B-8727-4891DAA56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Schedule 2 Form E3</vt:lpstr>
    </vt:vector>
  </TitlesOfParts>
  <Company>JSE Limited</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E3</dc:title>
  <dc:creator>Jseuser</dc:creator>
  <cp:lastModifiedBy>Bernardine Joubert</cp:lastModifiedBy>
  <cp:revision>4</cp:revision>
  <dcterms:created xsi:type="dcterms:W3CDTF">2017-09-13T12:46:00Z</dcterms:created>
  <dcterms:modified xsi:type="dcterms:W3CDTF">2019-12-02T13:25:00Z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