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4B58A4" w:rsidRPr="00A42D23" w14:paraId="4DD5E3DD" w14:textId="77777777" w:rsidTr="004B58A4">
        <w:tc>
          <w:tcPr>
            <w:tcW w:w="9016" w:type="dxa"/>
            <w:shd w:val="clear" w:color="auto" w:fill="92D050"/>
          </w:tcPr>
          <w:p w14:paraId="6B534CF9" w14:textId="62BC1390" w:rsidR="004B58A4" w:rsidRDefault="004B58A4" w:rsidP="00AD295B">
            <w:pPr>
              <w:jc w:val="both"/>
              <w:rPr>
                <w:rFonts w:ascii="Calibri" w:hAnsi="Calibri" w:cs="Calibri"/>
                <w:b/>
                <w:bCs/>
              </w:rPr>
            </w:pPr>
            <w:r w:rsidRPr="00A42D23">
              <w:rPr>
                <w:rFonts w:ascii="Calibri" w:hAnsi="Calibri" w:cs="Calibri"/>
                <w:b/>
                <w:bCs/>
              </w:rPr>
              <w:t xml:space="preserve">Form C6: Part </w:t>
            </w:r>
            <w:r w:rsidR="006E7765">
              <w:rPr>
                <w:rFonts w:ascii="Calibri" w:hAnsi="Calibri" w:cs="Calibri"/>
                <w:b/>
                <w:bCs/>
              </w:rPr>
              <w:t>I</w:t>
            </w:r>
            <w:r w:rsidRPr="00A42D23">
              <w:rPr>
                <w:rFonts w:ascii="Calibri" w:hAnsi="Calibri" w:cs="Calibri"/>
                <w:b/>
                <w:bCs/>
              </w:rPr>
              <w:t xml:space="preserve"> and </w:t>
            </w:r>
            <w:r w:rsidR="006E7765">
              <w:rPr>
                <w:rFonts w:ascii="Calibri" w:hAnsi="Calibri" w:cs="Calibri"/>
                <w:b/>
                <w:bCs/>
              </w:rPr>
              <w:t>II</w:t>
            </w:r>
            <w:r w:rsidRPr="00A42D23">
              <w:rPr>
                <w:rFonts w:ascii="Calibri" w:hAnsi="Calibri" w:cs="Calibri"/>
                <w:b/>
                <w:bCs/>
              </w:rPr>
              <w:t xml:space="preserve"> Documents </w:t>
            </w:r>
          </w:p>
          <w:p w14:paraId="2246B1A2" w14:textId="77777777" w:rsidR="006621D9" w:rsidRDefault="006621D9" w:rsidP="00AD295B">
            <w:pPr>
              <w:jc w:val="both"/>
              <w:rPr>
                <w:rFonts w:ascii="Calibri" w:hAnsi="Calibri" w:cs="Calibri"/>
                <w:b/>
                <w:bCs/>
              </w:rPr>
            </w:pPr>
          </w:p>
          <w:p w14:paraId="6D7C1F9E" w14:textId="01F02EFC" w:rsidR="001D0559" w:rsidRPr="006621D9" w:rsidRDefault="001D0559" w:rsidP="00AD295B">
            <w:pPr>
              <w:jc w:val="both"/>
              <w:rPr>
                <w:rFonts w:ascii="Calibri" w:hAnsi="Calibri" w:cs="Calibri"/>
                <w:b/>
                <w:bCs/>
                <w:i/>
                <w:iCs/>
              </w:rPr>
            </w:pPr>
            <w:r w:rsidRPr="006621D9">
              <w:rPr>
                <w:rFonts w:ascii="Calibri" w:hAnsi="Calibri" w:cs="Calibri"/>
                <w:b/>
                <w:bCs/>
                <w:i/>
                <w:iCs/>
              </w:rPr>
              <w:t xml:space="preserve">Previous </w:t>
            </w:r>
            <w:r w:rsidR="006621D9" w:rsidRPr="006621D9">
              <w:rPr>
                <w:rFonts w:ascii="Calibri" w:hAnsi="Calibri" w:cs="Calibri"/>
                <w:b/>
                <w:bCs/>
                <w:i/>
                <w:iCs/>
              </w:rPr>
              <w:t>Paragraph</w:t>
            </w:r>
            <w:r w:rsidRPr="006621D9">
              <w:rPr>
                <w:rFonts w:ascii="Calibri" w:hAnsi="Calibri" w:cs="Calibri"/>
                <w:b/>
                <w:bCs/>
                <w:i/>
                <w:iCs/>
              </w:rPr>
              <w:t xml:space="preserve"> </w:t>
            </w:r>
            <w:r w:rsidR="006621D9" w:rsidRPr="006621D9">
              <w:rPr>
                <w:rFonts w:ascii="Calibri" w:hAnsi="Calibri" w:cs="Calibri"/>
                <w:b/>
                <w:bCs/>
                <w:i/>
                <w:iCs/>
              </w:rPr>
              <w:t>16</w:t>
            </w:r>
            <w:r w:rsidRPr="006621D9">
              <w:rPr>
                <w:rFonts w:ascii="Calibri" w:hAnsi="Calibri" w:cs="Calibri"/>
                <w:b/>
                <w:bCs/>
                <w:i/>
                <w:iCs/>
              </w:rPr>
              <w:t xml:space="preserve">.9 </w:t>
            </w:r>
            <w:r w:rsidR="006621D9" w:rsidRPr="006621D9">
              <w:rPr>
                <w:rFonts w:ascii="Calibri" w:hAnsi="Calibri" w:cs="Calibri"/>
                <w:b/>
                <w:bCs/>
                <w:i/>
                <w:iCs/>
              </w:rPr>
              <w:t>–</w:t>
            </w:r>
            <w:r w:rsidRPr="006621D9">
              <w:rPr>
                <w:rFonts w:ascii="Calibri" w:hAnsi="Calibri" w:cs="Calibri"/>
                <w:b/>
                <w:bCs/>
                <w:i/>
                <w:iCs/>
              </w:rPr>
              <w:t xml:space="preserve"> 1</w:t>
            </w:r>
            <w:r w:rsidR="006621D9" w:rsidRPr="006621D9">
              <w:rPr>
                <w:rFonts w:ascii="Calibri" w:hAnsi="Calibri" w:cs="Calibri"/>
                <w:b/>
                <w:bCs/>
                <w:i/>
                <w:iCs/>
              </w:rPr>
              <w:t xml:space="preserve">6.12 – Section 16 </w:t>
            </w:r>
          </w:p>
        </w:tc>
      </w:tr>
    </w:tbl>
    <w:p w14:paraId="697BA8AA" w14:textId="77777777" w:rsidR="004B58A4" w:rsidRPr="00A42D23" w:rsidRDefault="004B58A4" w:rsidP="00AD295B">
      <w:pPr>
        <w:jc w:val="both"/>
        <w:rPr>
          <w:rFonts w:ascii="Calibri" w:hAnsi="Calibri" w:cs="Calibri"/>
          <w:b/>
          <w:bCs/>
        </w:rPr>
      </w:pPr>
    </w:p>
    <w:p w14:paraId="4079CCE0" w14:textId="487FCA2B" w:rsidR="002F3631" w:rsidRPr="00A42D23" w:rsidRDefault="002F3631" w:rsidP="00AD295B">
      <w:pPr>
        <w:jc w:val="both"/>
        <w:rPr>
          <w:rFonts w:ascii="Calibri" w:hAnsi="Calibri" w:cs="Calibri"/>
          <w:b/>
          <w:bCs/>
        </w:rPr>
      </w:pPr>
      <w:r w:rsidRPr="00A42D23">
        <w:rPr>
          <w:rFonts w:ascii="Calibri" w:hAnsi="Calibri" w:cs="Calibri"/>
          <w:b/>
          <w:bCs/>
        </w:rPr>
        <w:t>Documents to be submitted by new applicants</w:t>
      </w:r>
    </w:p>
    <w:p w14:paraId="1BB57156" w14:textId="529F3152" w:rsidR="002F3631" w:rsidRPr="00A42D23" w:rsidRDefault="00AD295B" w:rsidP="00AD295B">
      <w:pPr>
        <w:pStyle w:val="000"/>
        <w:rPr>
          <w:rFonts w:ascii="Calibri" w:hAnsi="Calibri" w:cs="Calibri"/>
          <w:sz w:val="22"/>
          <w:szCs w:val="22"/>
        </w:rPr>
      </w:pPr>
      <w:r w:rsidRPr="00A42D23">
        <w:rPr>
          <w:rFonts w:ascii="Calibri" w:hAnsi="Calibri" w:cs="Calibri"/>
          <w:sz w:val="22"/>
          <w:szCs w:val="22"/>
        </w:rPr>
        <w:t>1.1</w:t>
      </w:r>
      <w:r w:rsidR="002F3631" w:rsidRPr="00A42D23">
        <w:rPr>
          <w:rFonts w:ascii="Calibri" w:hAnsi="Calibri" w:cs="Calibri"/>
          <w:sz w:val="22"/>
          <w:szCs w:val="22"/>
        </w:rPr>
        <w:tab/>
        <w:t xml:space="preserve">New applicants are required to submit the documents described in paragraphs </w:t>
      </w:r>
      <w:r w:rsidRPr="00A42D23">
        <w:rPr>
          <w:rFonts w:ascii="Calibri" w:hAnsi="Calibri" w:cs="Calibri"/>
          <w:sz w:val="22"/>
          <w:szCs w:val="22"/>
        </w:rPr>
        <w:t>1.2</w:t>
      </w:r>
      <w:r w:rsidR="002F3631" w:rsidRPr="00A42D23">
        <w:rPr>
          <w:rFonts w:ascii="Calibri" w:hAnsi="Calibri" w:cs="Calibri"/>
          <w:sz w:val="22"/>
          <w:szCs w:val="22"/>
        </w:rPr>
        <w:t xml:space="preserve"> to </w:t>
      </w:r>
      <w:r w:rsidRPr="00A42D23">
        <w:rPr>
          <w:rFonts w:ascii="Calibri" w:hAnsi="Calibri" w:cs="Calibri"/>
          <w:sz w:val="22"/>
          <w:szCs w:val="22"/>
        </w:rPr>
        <w:t>1.</w:t>
      </w:r>
      <w:r w:rsidR="005B74DC" w:rsidRPr="00A42D23">
        <w:rPr>
          <w:rFonts w:ascii="Calibri" w:hAnsi="Calibri" w:cs="Calibri"/>
          <w:sz w:val="22"/>
          <w:szCs w:val="22"/>
        </w:rPr>
        <w:t>4</w:t>
      </w:r>
      <w:r w:rsidR="002F3631" w:rsidRPr="00A42D23">
        <w:rPr>
          <w:rFonts w:ascii="Calibri" w:hAnsi="Calibri" w:cs="Calibri"/>
          <w:sz w:val="22"/>
          <w:szCs w:val="22"/>
        </w:rPr>
        <w:t xml:space="preserve"> for review by the JSE, according to the relevant corporate action timetable.</w:t>
      </w:r>
      <w:r w:rsidR="002F3631" w:rsidRPr="00A42D23">
        <w:rPr>
          <w:rStyle w:val="FootnoteReference"/>
          <w:rFonts w:ascii="Calibri" w:eastAsiaTheme="majorEastAsia" w:hAnsi="Calibri" w:cs="Calibri"/>
          <w:sz w:val="22"/>
          <w:szCs w:val="22"/>
        </w:rPr>
        <w:footnoteReference w:customMarkFollows="1" w:id="1"/>
        <w:t> </w:t>
      </w:r>
    </w:p>
    <w:p w14:paraId="1AC9C06B" w14:textId="77777777" w:rsidR="002F3631" w:rsidRPr="00A42D23" w:rsidRDefault="002F3631" w:rsidP="00AD295B">
      <w:pPr>
        <w:jc w:val="both"/>
        <w:rPr>
          <w:rFonts w:ascii="Calibri" w:hAnsi="Calibri" w:cs="Calibri"/>
          <w:b/>
          <w:bCs/>
        </w:rPr>
      </w:pPr>
    </w:p>
    <w:p w14:paraId="48E789FC" w14:textId="41073853" w:rsidR="002F3631" w:rsidRPr="00A42D23" w:rsidRDefault="002F3631" w:rsidP="00AD295B">
      <w:pPr>
        <w:jc w:val="both"/>
        <w:rPr>
          <w:rFonts w:ascii="Calibri" w:hAnsi="Calibri" w:cs="Calibri"/>
          <w:b/>
          <w:bCs/>
        </w:rPr>
      </w:pPr>
      <w:r w:rsidRPr="00A42D23">
        <w:rPr>
          <w:rFonts w:ascii="Calibri" w:hAnsi="Calibri" w:cs="Calibri"/>
          <w:b/>
          <w:bCs/>
        </w:rPr>
        <w:t xml:space="preserve">Part I </w:t>
      </w:r>
      <w:r w:rsidR="00AD295B" w:rsidRPr="00A42D23">
        <w:rPr>
          <w:rFonts w:ascii="Calibri" w:hAnsi="Calibri" w:cs="Calibri"/>
          <w:b/>
          <w:bCs/>
        </w:rPr>
        <w:t>D</w:t>
      </w:r>
      <w:r w:rsidRPr="00A42D23">
        <w:rPr>
          <w:rFonts w:ascii="Calibri" w:hAnsi="Calibri" w:cs="Calibri"/>
          <w:b/>
          <w:bCs/>
        </w:rPr>
        <w:t>ocuments</w:t>
      </w:r>
    </w:p>
    <w:p w14:paraId="75A55C77" w14:textId="6A5EE0DD" w:rsidR="002F3631" w:rsidRPr="00A42D23" w:rsidRDefault="002F3631" w:rsidP="00AD295B">
      <w:pPr>
        <w:pStyle w:val="0000"/>
        <w:rPr>
          <w:rFonts w:ascii="Calibri" w:hAnsi="Calibri" w:cs="Calibri"/>
          <w:sz w:val="22"/>
          <w:szCs w:val="22"/>
        </w:rPr>
      </w:pPr>
      <w:r w:rsidRPr="00A42D23">
        <w:rPr>
          <w:rFonts w:ascii="Calibri" w:hAnsi="Calibri" w:cs="Calibri"/>
          <w:sz w:val="22"/>
          <w:szCs w:val="22"/>
        </w:rPr>
        <w:t>1</w:t>
      </w:r>
      <w:r w:rsidR="00AD295B" w:rsidRPr="00A42D23">
        <w:rPr>
          <w:rFonts w:ascii="Calibri" w:hAnsi="Calibri" w:cs="Calibri"/>
          <w:sz w:val="22"/>
          <w:szCs w:val="22"/>
        </w:rPr>
        <w:t>.2</w:t>
      </w:r>
      <w:r w:rsidRPr="00A42D23">
        <w:rPr>
          <w:rFonts w:ascii="Calibri" w:hAnsi="Calibri" w:cs="Calibri"/>
          <w:sz w:val="22"/>
          <w:szCs w:val="22"/>
        </w:rPr>
        <w:tab/>
        <w:t>The following documents are classified as Part I documents and must be submitted to the JSE before formal approval will be granted:</w:t>
      </w:r>
      <w:r w:rsidRPr="00A42D23">
        <w:rPr>
          <w:rStyle w:val="FootnoteReference"/>
          <w:rFonts w:ascii="Calibri" w:eastAsiaTheme="majorEastAsia" w:hAnsi="Calibri" w:cs="Calibri"/>
          <w:sz w:val="22"/>
          <w:szCs w:val="22"/>
        </w:rPr>
        <w:footnoteReference w:customMarkFollows="1" w:id="2"/>
        <w:t> </w:t>
      </w:r>
    </w:p>
    <w:p w14:paraId="63D92BDA" w14:textId="26A1F9C7"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(a)</w:t>
      </w:r>
      <w:r w:rsidRPr="00A42D23">
        <w:rPr>
          <w:rFonts w:ascii="Calibri" w:hAnsi="Calibri" w:cs="Calibri"/>
          <w:sz w:val="22"/>
          <w:szCs w:val="22"/>
        </w:rPr>
        <w:tab/>
        <w:t xml:space="preserve">the formal application for listing complying with </w:t>
      </w:r>
      <w:r w:rsidR="008E3DFA" w:rsidRPr="00A42D23">
        <w:rPr>
          <w:rFonts w:ascii="Calibri" w:hAnsi="Calibri" w:cs="Calibri"/>
          <w:sz w:val="22"/>
          <w:szCs w:val="22"/>
        </w:rPr>
        <w:t xml:space="preserve">Form </w:t>
      </w:r>
      <w:proofErr w:type="gramStart"/>
      <w:r w:rsidR="00A742B7" w:rsidRPr="00A42D23">
        <w:rPr>
          <w:rFonts w:ascii="Calibri" w:hAnsi="Calibri" w:cs="Calibri"/>
          <w:sz w:val="22"/>
          <w:szCs w:val="22"/>
        </w:rPr>
        <w:t>C1</w:t>
      </w:r>
      <w:r w:rsidRPr="00A42D23">
        <w:rPr>
          <w:rFonts w:ascii="Calibri" w:hAnsi="Calibri" w:cs="Calibri"/>
          <w:sz w:val="22"/>
          <w:szCs w:val="22"/>
        </w:rPr>
        <w:t>;</w:t>
      </w:r>
      <w:proofErr w:type="gramEnd"/>
    </w:p>
    <w:p w14:paraId="1D743652" w14:textId="367BB313"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(b)</w:t>
      </w:r>
      <w:r w:rsidRPr="00A42D23">
        <w:rPr>
          <w:rFonts w:ascii="Calibri" w:hAnsi="Calibri" w:cs="Calibri"/>
          <w:sz w:val="22"/>
          <w:szCs w:val="22"/>
        </w:rPr>
        <w:tab/>
        <w:t xml:space="preserve">an explanation of how the required </w:t>
      </w:r>
      <w:r w:rsidR="00766C48" w:rsidRPr="00A42D23">
        <w:rPr>
          <w:rFonts w:ascii="Calibri" w:hAnsi="Calibri" w:cs="Calibri"/>
          <w:sz w:val="22"/>
          <w:szCs w:val="22"/>
        </w:rPr>
        <w:t>free float</w:t>
      </w:r>
      <w:r w:rsidRPr="00A42D23">
        <w:rPr>
          <w:rFonts w:ascii="Calibri" w:hAnsi="Calibri" w:cs="Calibri"/>
          <w:sz w:val="22"/>
          <w:szCs w:val="22"/>
        </w:rPr>
        <w:t xml:space="preserve"> of shareholders is to be achieved</w:t>
      </w:r>
      <w:r w:rsidR="005D26C8" w:rsidRPr="00A42D23">
        <w:rPr>
          <w:rFonts w:ascii="Calibri" w:hAnsi="Calibri" w:cs="Calibri"/>
          <w:sz w:val="22"/>
          <w:szCs w:val="22"/>
        </w:rPr>
        <w:t xml:space="preserve">, for the relevant </w:t>
      </w:r>
      <w:r w:rsidR="003C3221" w:rsidRPr="00A42D23">
        <w:rPr>
          <w:rFonts w:ascii="Calibri" w:hAnsi="Calibri" w:cs="Calibri"/>
          <w:sz w:val="22"/>
          <w:szCs w:val="22"/>
        </w:rPr>
        <w:t>listing criteria</w:t>
      </w:r>
      <w:r w:rsidRPr="00A42D23">
        <w:rPr>
          <w:rFonts w:ascii="Calibri" w:hAnsi="Calibri" w:cs="Calibri"/>
          <w:sz w:val="22"/>
          <w:szCs w:val="22"/>
        </w:rPr>
        <w:t>;</w:t>
      </w:r>
      <w:r w:rsidRPr="00A42D23">
        <w:rPr>
          <w:rStyle w:val="FootnoteReference"/>
          <w:rFonts w:ascii="Calibri" w:eastAsiaTheme="majorEastAsia" w:hAnsi="Calibri" w:cs="Calibri"/>
          <w:sz w:val="22"/>
          <w:szCs w:val="22"/>
        </w:rPr>
        <w:footnoteReference w:customMarkFollows="1" w:id="3"/>
        <w:t> </w:t>
      </w:r>
    </w:p>
    <w:p w14:paraId="0E549F64" w14:textId="77777777"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(c)</w:t>
      </w:r>
      <w:r w:rsidRPr="00A42D23">
        <w:rPr>
          <w:rFonts w:ascii="Calibri" w:hAnsi="Calibri" w:cs="Calibri"/>
          <w:sz w:val="22"/>
          <w:szCs w:val="22"/>
        </w:rPr>
        <w:tab/>
        <w:t xml:space="preserve">the proposed pre-listing statement/prospectus dated and signed by the directors of the company, including their respective alternates, or under power of attorney, together with a statement of the proposed date and details relating to its publication, in full or abridged form, in the press and/or on </w:t>
      </w:r>
      <w:proofErr w:type="gramStart"/>
      <w:r w:rsidRPr="00A42D23">
        <w:rPr>
          <w:rFonts w:ascii="Calibri" w:hAnsi="Calibri" w:cs="Calibri"/>
          <w:sz w:val="22"/>
          <w:szCs w:val="22"/>
        </w:rPr>
        <w:t>SENS;</w:t>
      </w:r>
      <w:proofErr w:type="gramEnd"/>
    </w:p>
    <w:p w14:paraId="5F736A43" w14:textId="091FBAEA"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(d)</w:t>
      </w:r>
      <w:r w:rsidRPr="00A42D23">
        <w:rPr>
          <w:rFonts w:ascii="Calibri" w:hAnsi="Calibri" w:cs="Calibri"/>
          <w:sz w:val="22"/>
          <w:szCs w:val="22"/>
        </w:rPr>
        <w:tab/>
        <w:t xml:space="preserve">if the document is a prospectus, a certificate from the company’s attorneys stating that the requirements of Chapter 4 of the Regulations of the Act have been complied </w:t>
      </w:r>
      <w:proofErr w:type="gramStart"/>
      <w:r w:rsidRPr="00A42D23">
        <w:rPr>
          <w:rFonts w:ascii="Calibri" w:hAnsi="Calibri" w:cs="Calibri"/>
          <w:sz w:val="22"/>
          <w:szCs w:val="22"/>
        </w:rPr>
        <w:t>with;</w:t>
      </w:r>
      <w:proofErr w:type="gramEnd"/>
    </w:p>
    <w:p w14:paraId="69C06940" w14:textId="1ED7EDC3"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(e)</w:t>
      </w:r>
      <w:r w:rsidRPr="00A42D23">
        <w:rPr>
          <w:rFonts w:ascii="Calibri" w:hAnsi="Calibri" w:cs="Calibri"/>
          <w:sz w:val="22"/>
          <w:szCs w:val="22"/>
        </w:rPr>
        <w:tab/>
        <w:t>if the pre-listing statement/prospectus contains a reporting accountant’s report(s), a statement from the accountant that the contents of the pre-listing statement/prospectus are not contradictory to the information contained in the reporting accountant’s report(s</w:t>
      </w:r>
      <w:proofErr w:type="gramStart"/>
      <w:r w:rsidRPr="00A42D23">
        <w:rPr>
          <w:rFonts w:ascii="Calibri" w:hAnsi="Calibri" w:cs="Calibri"/>
          <w:sz w:val="22"/>
          <w:szCs w:val="22"/>
        </w:rPr>
        <w:t>);</w:t>
      </w:r>
      <w:proofErr w:type="gramEnd"/>
    </w:p>
    <w:p w14:paraId="15929F15" w14:textId="77777777"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(f)</w:t>
      </w:r>
      <w:r w:rsidRPr="00A42D23">
        <w:rPr>
          <w:rFonts w:ascii="Calibri" w:hAnsi="Calibri" w:cs="Calibri"/>
          <w:sz w:val="22"/>
          <w:szCs w:val="22"/>
        </w:rPr>
        <w:tab/>
        <w:t>the following information must be submitted in respect of public shareholders, irrespective of whether the listing has been sought through a placing, introduction, offer for sale or subscription:</w:t>
      </w:r>
      <w:r w:rsidRPr="00A42D23">
        <w:rPr>
          <w:rStyle w:val="FootnoteReference"/>
          <w:rFonts w:ascii="Calibri" w:eastAsiaTheme="majorEastAsia" w:hAnsi="Calibri" w:cs="Calibri"/>
          <w:sz w:val="22"/>
          <w:szCs w:val="22"/>
        </w:rPr>
        <w:footnoteReference w:customMarkFollows="1" w:id="4"/>
        <w:t> </w:t>
      </w:r>
    </w:p>
    <w:p w14:paraId="34EDB282"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w:t>
      </w:r>
      <w:r w:rsidRPr="00A42D23">
        <w:rPr>
          <w:rFonts w:ascii="Calibri" w:hAnsi="Calibri" w:cs="Calibri"/>
          <w:sz w:val="22"/>
          <w:szCs w:val="22"/>
        </w:rPr>
        <w:tab/>
        <w:t>a list of shareholders, clearly distinguishing between public shareholders and non-public shareholders;</w:t>
      </w:r>
      <w:r w:rsidRPr="00A42D23">
        <w:rPr>
          <w:rStyle w:val="FootnoteReference"/>
          <w:rFonts w:ascii="Calibri" w:eastAsiaTheme="majorEastAsia" w:hAnsi="Calibri" w:cs="Calibri"/>
          <w:sz w:val="22"/>
          <w:szCs w:val="22"/>
        </w:rPr>
        <w:footnoteReference w:customMarkFollows="1" w:id="5"/>
        <w:t> </w:t>
      </w:r>
    </w:p>
    <w:p w14:paraId="1DE602D0"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(ii)</w:t>
      </w:r>
      <w:r w:rsidRPr="00A42D23">
        <w:rPr>
          <w:rFonts w:ascii="Calibri" w:hAnsi="Calibri" w:cs="Calibri"/>
          <w:sz w:val="22"/>
          <w:szCs w:val="22"/>
        </w:rPr>
        <w:tab/>
        <w:t>the number and issue/listing price per share; and</w:t>
      </w:r>
      <w:r w:rsidRPr="00A42D23">
        <w:rPr>
          <w:rStyle w:val="FootnoteReference"/>
          <w:rFonts w:ascii="Calibri" w:eastAsiaTheme="majorEastAsia" w:hAnsi="Calibri" w:cs="Calibri"/>
          <w:sz w:val="22"/>
          <w:szCs w:val="22"/>
        </w:rPr>
        <w:footnoteReference w:customMarkFollows="1" w:id="6"/>
        <w:t> </w:t>
      </w:r>
    </w:p>
    <w:p w14:paraId="1C06BA62" w14:textId="20D5F219"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(iii)</w:t>
      </w:r>
      <w:r w:rsidRPr="00A42D23">
        <w:rPr>
          <w:rFonts w:ascii="Calibri" w:hAnsi="Calibri" w:cs="Calibri"/>
          <w:sz w:val="22"/>
          <w:szCs w:val="22"/>
        </w:rPr>
        <w:tab/>
        <w:t xml:space="preserve">a positive confirmation from the sponsor and the board of directors of the applicant issuer confirming that the required </w:t>
      </w:r>
      <w:r w:rsidR="005168F9" w:rsidRPr="00A42D23">
        <w:rPr>
          <w:rFonts w:ascii="Calibri" w:hAnsi="Calibri" w:cs="Calibri"/>
          <w:sz w:val="22"/>
          <w:szCs w:val="22"/>
        </w:rPr>
        <w:t>free float</w:t>
      </w:r>
      <w:r w:rsidRPr="00A42D23">
        <w:rPr>
          <w:rFonts w:ascii="Calibri" w:hAnsi="Calibri" w:cs="Calibri"/>
          <w:sz w:val="22"/>
          <w:szCs w:val="22"/>
        </w:rPr>
        <w:t xml:space="preserve"> shareholders (refer to has been achieved</w:t>
      </w:r>
      <w:r w:rsidR="005168F9" w:rsidRPr="00A42D23">
        <w:rPr>
          <w:rFonts w:ascii="Calibri" w:hAnsi="Calibri" w:cs="Calibri"/>
          <w:sz w:val="22"/>
          <w:szCs w:val="22"/>
        </w:rPr>
        <w:t xml:space="preserve"> in terms of the relevant listing entry criteria</w:t>
      </w:r>
      <w:r w:rsidRPr="00A42D23">
        <w:rPr>
          <w:rFonts w:ascii="Calibri" w:hAnsi="Calibri" w:cs="Calibri"/>
          <w:sz w:val="22"/>
          <w:szCs w:val="22"/>
        </w:rPr>
        <w:t>. The positive confirmation must be supported by an analysis of shareholders, distinguishing between public shareholders and non-public shareholders, with a detailed explanation on how the public shareholders provisions were applied</w:t>
      </w:r>
      <w:r w:rsidR="001F316A" w:rsidRPr="00A42D23">
        <w:rPr>
          <w:rFonts w:ascii="Calibri" w:hAnsi="Calibri" w:cs="Calibri"/>
          <w:sz w:val="22"/>
          <w:szCs w:val="22"/>
        </w:rPr>
        <w:t xml:space="preserve"> as defined;</w:t>
      </w:r>
      <w:r w:rsidRPr="00A42D23">
        <w:rPr>
          <w:rStyle w:val="FootnoteReference"/>
          <w:rFonts w:ascii="Calibri" w:eastAsiaTheme="majorEastAsia" w:hAnsi="Calibri" w:cs="Calibri"/>
          <w:sz w:val="22"/>
          <w:szCs w:val="22"/>
        </w:rPr>
        <w:footnoteReference w:customMarkFollows="1" w:id="7"/>
        <w:t> </w:t>
      </w:r>
    </w:p>
    <w:p w14:paraId="49290CC1" w14:textId="77777777"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lastRenderedPageBreak/>
        <w:tab/>
        <w:t>(g)</w:t>
      </w:r>
      <w:r w:rsidRPr="00A42D23">
        <w:rPr>
          <w:rFonts w:ascii="Calibri" w:hAnsi="Calibri" w:cs="Calibri"/>
          <w:sz w:val="22"/>
          <w:szCs w:val="22"/>
        </w:rPr>
        <w:tab/>
        <w:t>where applicable, the underwriting agreement, the sworn declaration in terms of Section 100(6) and (7) of the Act and a statement containing the following:</w:t>
      </w:r>
      <w:r w:rsidRPr="00A42D23">
        <w:rPr>
          <w:rStyle w:val="FootnoteReference"/>
          <w:rFonts w:ascii="Calibri" w:eastAsiaTheme="majorEastAsia" w:hAnsi="Calibri" w:cs="Calibri"/>
          <w:sz w:val="22"/>
          <w:szCs w:val="22"/>
        </w:rPr>
        <w:footnoteReference w:customMarkFollows="1" w:id="8"/>
        <w:t> </w:t>
      </w:r>
    </w:p>
    <w:p w14:paraId="46DB2912"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w:t>
      </w:r>
      <w:r w:rsidRPr="00A42D23">
        <w:rPr>
          <w:rFonts w:ascii="Calibri" w:hAnsi="Calibri" w:cs="Calibri"/>
          <w:sz w:val="22"/>
          <w:szCs w:val="22"/>
        </w:rPr>
        <w:tab/>
        <w:t>that the underwriting agreement will become irrevocable not later than 16h30 on the day prior to FD as determined from the relevant corporate action timetable;</w:t>
      </w:r>
      <w:r w:rsidRPr="00A42D23">
        <w:rPr>
          <w:rStyle w:val="FootnoteReference"/>
          <w:rFonts w:ascii="Calibri" w:eastAsiaTheme="majorEastAsia" w:hAnsi="Calibri" w:cs="Calibri"/>
          <w:sz w:val="22"/>
          <w:szCs w:val="22"/>
        </w:rPr>
        <w:footnoteReference w:customMarkFollows="1" w:id="9"/>
        <w:t> </w:t>
      </w:r>
    </w:p>
    <w:p w14:paraId="60C37306"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(ii)</w:t>
      </w:r>
      <w:r w:rsidRPr="00A42D23">
        <w:rPr>
          <w:rFonts w:ascii="Calibri" w:hAnsi="Calibri" w:cs="Calibri"/>
          <w:sz w:val="22"/>
          <w:szCs w:val="22"/>
        </w:rPr>
        <w:tab/>
        <w:t xml:space="preserve">that the underwriter is in a position at the date of signing the underwriting agreement, to meet its commitments in terms of the underwriting agreement in conjunction with any other underwriting or similar agreements running concurrently with the present commitment; </w:t>
      </w:r>
      <w:r w:rsidRPr="00A42D23">
        <w:rPr>
          <w:rStyle w:val="FootnoteReference"/>
          <w:rFonts w:ascii="Calibri" w:eastAsiaTheme="majorEastAsia" w:hAnsi="Calibri" w:cs="Calibri"/>
          <w:sz w:val="22"/>
          <w:szCs w:val="22"/>
        </w:rPr>
        <w:footnoteReference w:customMarkFollows="1" w:id="10"/>
        <w:t> </w:t>
      </w:r>
    </w:p>
    <w:p w14:paraId="4520A511"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(iii)</w:t>
      </w:r>
      <w:r w:rsidRPr="00A42D23">
        <w:rPr>
          <w:rFonts w:ascii="Calibri" w:hAnsi="Calibri" w:cs="Calibri"/>
          <w:sz w:val="22"/>
          <w:szCs w:val="22"/>
        </w:rPr>
        <w:tab/>
        <w:t xml:space="preserve">the number of securities offered to the public and the number of securities offered other than to the </w:t>
      </w:r>
      <w:proofErr w:type="gramStart"/>
      <w:r w:rsidRPr="00A42D23">
        <w:rPr>
          <w:rFonts w:ascii="Calibri" w:hAnsi="Calibri" w:cs="Calibri"/>
          <w:sz w:val="22"/>
          <w:szCs w:val="22"/>
        </w:rPr>
        <w:t>public;</w:t>
      </w:r>
      <w:proofErr w:type="gramEnd"/>
    </w:p>
    <w:p w14:paraId="106948A2"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(iv)</w:t>
      </w:r>
      <w:r w:rsidRPr="00A42D23">
        <w:rPr>
          <w:rFonts w:ascii="Calibri" w:hAnsi="Calibri" w:cs="Calibri"/>
          <w:sz w:val="22"/>
          <w:szCs w:val="22"/>
        </w:rPr>
        <w:tab/>
        <w:t xml:space="preserve">the number of securities offered as a preferential right to any other persons. </w:t>
      </w:r>
      <w:proofErr w:type="gramStart"/>
      <w:r w:rsidRPr="00A42D23">
        <w:rPr>
          <w:rFonts w:ascii="Calibri" w:hAnsi="Calibri" w:cs="Calibri"/>
          <w:sz w:val="22"/>
          <w:szCs w:val="22"/>
        </w:rPr>
        <w:t>A brief summary</w:t>
      </w:r>
      <w:proofErr w:type="gramEnd"/>
      <w:r w:rsidRPr="00A42D23">
        <w:rPr>
          <w:rFonts w:ascii="Calibri" w:hAnsi="Calibri" w:cs="Calibri"/>
          <w:sz w:val="22"/>
          <w:szCs w:val="22"/>
        </w:rPr>
        <w:t xml:space="preserve"> of such offer must be </w:t>
      </w:r>
      <w:proofErr w:type="gramStart"/>
      <w:r w:rsidRPr="00A42D23">
        <w:rPr>
          <w:rFonts w:ascii="Calibri" w:hAnsi="Calibri" w:cs="Calibri"/>
          <w:sz w:val="22"/>
          <w:szCs w:val="22"/>
        </w:rPr>
        <w:t>given;</w:t>
      </w:r>
      <w:proofErr w:type="gramEnd"/>
    </w:p>
    <w:p w14:paraId="32141EF5"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(v)</w:t>
      </w:r>
      <w:r w:rsidRPr="00A42D23">
        <w:rPr>
          <w:rFonts w:ascii="Calibri" w:hAnsi="Calibri" w:cs="Calibri"/>
          <w:sz w:val="22"/>
          <w:szCs w:val="22"/>
        </w:rPr>
        <w:tab/>
        <w:t>the minimum subscription (if any) in terms of the pre-listing statement/prospectus; and</w:t>
      </w:r>
    </w:p>
    <w:p w14:paraId="48F46802"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(vi)</w:t>
      </w:r>
      <w:r w:rsidRPr="00A42D23">
        <w:rPr>
          <w:rFonts w:ascii="Calibri" w:hAnsi="Calibri" w:cs="Calibri"/>
          <w:sz w:val="22"/>
          <w:szCs w:val="22"/>
        </w:rPr>
        <w:tab/>
        <w:t xml:space="preserve">confirmation that the underwriting agreement provides that the underwriting consideration will not be paid until the underwriting commitments have been </w:t>
      </w:r>
      <w:proofErr w:type="gramStart"/>
      <w:r w:rsidRPr="00A42D23">
        <w:rPr>
          <w:rFonts w:ascii="Calibri" w:hAnsi="Calibri" w:cs="Calibri"/>
          <w:sz w:val="22"/>
          <w:szCs w:val="22"/>
        </w:rPr>
        <w:t>met;</w:t>
      </w:r>
      <w:proofErr w:type="gramEnd"/>
    </w:p>
    <w:p w14:paraId="6346E7BF" w14:textId="77777777" w:rsidR="002F3631" w:rsidRPr="00A42D23" w:rsidRDefault="002F3631" w:rsidP="00AD295B">
      <w:pPr>
        <w:pStyle w:val="a-0000"/>
        <w:ind w:left="0" w:firstLine="0"/>
        <w:rPr>
          <w:rFonts w:ascii="Calibri" w:hAnsi="Calibri" w:cs="Calibri"/>
          <w:sz w:val="22"/>
          <w:szCs w:val="22"/>
        </w:rPr>
      </w:pPr>
      <w:r w:rsidRPr="00A42D23">
        <w:rPr>
          <w:rFonts w:ascii="Calibri" w:hAnsi="Calibri" w:cs="Calibri"/>
          <w:sz w:val="22"/>
          <w:szCs w:val="22"/>
        </w:rPr>
        <w:tab/>
        <w:t>(h)</w:t>
      </w:r>
      <w:r w:rsidRPr="00A42D23">
        <w:rPr>
          <w:rFonts w:ascii="Calibri" w:hAnsi="Calibri" w:cs="Calibri"/>
          <w:sz w:val="22"/>
          <w:szCs w:val="22"/>
        </w:rPr>
        <w:tab/>
        <w:t>the debenture trust deed, if debentures are to be listed;</w:t>
      </w:r>
      <w:r w:rsidRPr="00A42D23">
        <w:rPr>
          <w:rStyle w:val="FootnoteReference"/>
          <w:rFonts w:ascii="Calibri" w:eastAsiaTheme="majorEastAsia" w:hAnsi="Calibri" w:cs="Calibri"/>
          <w:sz w:val="22"/>
          <w:szCs w:val="22"/>
        </w:rPr>
        <w:footnoteReference w:customMarkFollows="1" w:id="11"/>
        <w:t> </w:t>
      </w:r>
    </w:p>
    <w:p w14:paraId="32356E1E" w14:textId="08473719"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(i)</w:t>
      </w:r>
      <w:r w:rsidRPr="00A42D23">
        <w:rPr>
          <w:rFonts w:ascii="Calibri" w:hAnsi="Calibri" w:cs="Calibri"/>
          <w:sz w:val="22"/>
          <w:szCs w:val="22"/>
        </w:rPr>
        <w:tab/>
        <w:t xml:space="preserve">confirmation in writing from </w:t>
      </w:r>
      <w:r w:rsidR="000F38ED" w:rsidRPr="00A42D23">
        <w:rPr>
          <w:rFonts w:ascii="Calibri" w:hAnsi="Calibri" w:cs="Calibri"/>
          <w:sz w:val="22"/>
          <w:szCs w:val="22"/>
        </w:rPr>
        <w:t>the JSE’s central securities depositary</w:t>
      </w:r>
      <w:r w:rsidRPr="00A42D23">
        <w:rPr>
          <w:rFonts w:ascii="Calibri" w:hAnsi="Calibri" w:cs="Calibri"/>
          <w:sz w:val="22"/>
          <w:szCs w:val="22"/>
        </w:rPr>
        <w:t xml:space="preserve"> that the applicant has been approved in terms of the Central Securities Depository Rules and Directives;</w:t>
      </w:r>
      <w:r w:rsidRPr="00A42D23">
        <w:rPr>
          <w:rStyle w:val="FootnoteReference"/>
          <w:rFonts w:ascii="Calibri" w:eastAsiaTheme="majorEastAsia" w:hAnsi="Calibri" w:cs="Calibri"/>
          <w:sz w:val="22"/>
          <w:szCs w:val="22"/>
        </w:rPr>
        <w:t xml:space="preserve"> </w:t>
      </w:r>
      <w:r w:rsidRPr="00A42D23">
        <w:rPr>
          <w:rStyle w:val="FootnoteReference"/>
          <w:rFonts w:ascii="Calibri" w:eastAsiaTheme="majorEastAsia" w:hAnsi="Calibri" w:cs="Calibri"/>
          <w:sz w:val="22"/>
          <w:szCs w:val="22"/>
        </w:rPr>
        <w:footnoteReference w:customMarkFollows="1" w:id="12"/>
        <w:t> </w:t>
      </w:r>
    </w:p>
    <w:p w14:paraId="46CE45AC" w14:textId="77777777"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(j)</w:t>
      </w:r>
      <w:r w:rsidRPr="00A42D23">
        <w:rPr>
          <w:rFonts w:ascii="Calibri" w:hAnsi="Calibri" w:cs="Calibri"/>
          <w:sz w:val="22"/>
          <w:szCs w:val="22"/>
        </w:rPr>
        <w:tab/>
        <w:t>a statement as to whether the company’s securities are listed on any exchange outside the Republic of South Africa and particulars of that listing. In the event of any application for listing on any stock exchange having been refused or deferred, relevant details are to be furnished;</w:t>
      </w:r>
      <w:r w:rsidRPr="00A42D23">
        <w:rPr>
          <w:rStyle w:val="FootnoteReference"/>
          <w:rFonts w:ascii="Calibri" w:eastAsiaTheme="majorEastAsia" w:hAnsi="Calibri" w:cs="Calibri"/>
          <w:sz w:val="22"/>
          <w:szCs w:val="22"/>
        </w:rPr>
        <w:footnoteReference w:customMarkFollows="1" w:id="13"/>
        <w:t> </w:t>
      </w:r>
    </w:p>
    <w:p w14:paraId="7253A9FA" w14:textId="77777777"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(k)</w:t>
      </w:r>
      <w:r w:rsidRPr="00A42D23">
        <w:rPr>
          <w:rFonts w:ascii="Calibri" w:hAnsi="Calibri" w:cs="Calibri"/>
          <w:sz w:val="22"/>
          <w:szCs w:val="22"/>
        </w:rPr>
        <w:tab/>
        <w:t>a list of other companies of which the applicant issuer’s directors are also directors or have been directors during the past five years, and the nature of business conducted by such companies;</w:t>
      </w:r>
      <w:r w:rsidRPr="00A42D23">
        <w:rPr>
          <w:rStyle w:val="FootnoteReference"/>
          <w:rFonts w:ascii="Calibri" w:eastAsiaTheme="majorEastAsia" w:hAnsi="Calibri" w:cs="Calibri"/>
          <w:sz w:val="22"/>
          <w:szCs w:val="22"/>
        </w:rPr>
        <w:footnoteReference w:customMarkFollows="1" w:id="14"/>
        <w:t> </w:t>
      </w:r>
      <w:r w:rsidRPr="00A42D23">
        <w:rPr>
          <w:rFonts w:ascii="Calibri" w:hAnsi="Calibri" w:cs="Calibri"/>
          <w:sz w:val="22"/>
          <w:szCs w:val="22"/>
        </w:rPr>
        <w:t xml:space="preserve"> </w:t>
      </w:r>
    </w:p>
    <w:p w14:paraId="0EACDB80" w14:textId="77777777"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(l)</w:t>
      </w:r>
      <w:r w:rsidRPr="00A42D23">
        <w:rPr>
          <w:rFonts w:ascii="Calibri" w:hAnsi="Calibri" w:cs="Calibri"/>
          <w:sz w:val="22"/>
          <w:szCs w:val="22"/>
        </w:rPr>
        <w:tab/>
        <w:t>all details concerning any planned price stabilisation exercise;</w:t>
      </w:r>
      <w:r w:rsidRPr="00A42D23">
        <w:rPr>
          <w:rStyle w:val="FootnoteReference"/>
          <w:rFonts w:ascii="Calibri" w:eastAsiaTheme="majorEastAsia" w:hAnsi="Calibri" w:cs="Calibri"/>
          <w:sz w:val="22"/>
          <w:szCs w:val="22"/>
        </w:rPr>
        <w:footnoteReference w:customMarkFollows="1" w:id="15"/>
        <w:t> </w:t>
      </w:r>
    </w:p>
    <w:p w14:paraId="186D84C2" w14:textId="77777777"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(m)</w:t>
      </w:r>
      <w:r w:rsidRPr="00A42D23">
        <w:rPr>
          <w:rFonts w:ascii="Calibri" w:hAnsi="Calibri" w:cs="Calibri"/>
          <w:sz w:val="22"/>
          <w:szCs w:val="22"/>
        </w:rPr>
        <w:tab/>
        <w:t xml:space="preserve">a certified copy of the applicant’s MOI or other constitutional documents if not a South African entity, embodying any amendments required by the </w:t>
      </w:r>
      <w:proofErr w:type="gramStart"/>
      <w:r w:rsidRPr="00A42D23">
        <w:rPr>
          <w:rFonts w:ascii="Calibri" w:hAnsi="Calibri" w:cs="Calibri"/>
          <w:sz w:val="22"/>
          <w:szCs w:val="22"/>
        </w:rPr>
        <w:t>JSE;</w:t>
      </w:r>
      <w:proofErr w:type="gramEnd"/>
      <w:r w:rsidRPr="00A42D23">
        <w:rPr>
          <w:rFonts w:ascii="Calibri" w:hAnsi="Calibri" w:cs="Calibri"/>
          <w:sz w:val="22"/>
          <w:szCs w:val="22"/>
        </w:rPr>
        <w:footnoteReference w:customMarkFollows="1" w:id="16"/>
        <w:t> </w:t>
      </w:r>
    </w:p>
    <w:p w14:paraId="3C8AD65A" w14:textId="77777777"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(n)</w:t>
      </w:r>
      <w:r w:rsidRPr="00A42D23">
        <w:rPr>
          <w:rFonts w:ascii="Calibri" w:hAnsi="Calibri" w:cs="Calibri"/>
          <w:sz w:val="22"/>
          <w:szCs w:val="22"/>
        </w:rPr>
        <w:tab/>
        <w:t xml:space="preserve">a certified copy of the registration certificate, if the company was registered within the last two years. Where a company is registered outside of the Republic of South Africa, it must furnish a notarial copy of the certificate of registration as an external </w:t>
      </w:r>
      <w:proofErr w:type="gramStart"/>
      <w:r w:rsidRPr="00A42D23">
        <w:rPr>
          <w:rFonts w:ascii="Calibri" w:hAnsi="Calibri" w:cs="Calibri"/>
          <w:sz w:val="22"/>
          <w:szCs w:val="22"/>
        </w:rPr>
        <w:t>company;</w:t>
      </w:r>
      <w:proofErr w:type="gramEnd"/>
      <w:r w:rsidRPr="00A42D23">
        <w:rPr>
          <w:rFonts w:ascii="Calibri" w:hAnsi="Calibri" w:cs="Calibri"/>
          <w:sz w:val="22"/>
          <w:szCs w:val="22"/>
        </w:rPr>
        <w:footnoteReference w:customMarkFollows="1" w:id="17"/>
        <w:t> </w:t>
      </w:r>
    </w:p>
    <w:p w14:paraId="354E064D" w14:textId="77777777"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(o)</w:t>
      </w:r>
      <w:r w:rsidRPr="00A42D23">
        <w:rPr>
          <w:rFonts w:ascii="Calibri" w:hAnsi="Calibri" w:cs="Calibri"/>
          <w:sz w:val="22"/>
          <w:szCs w:val="22"/>
        </w:rPr>
        <w:tab/>
        <w:t xml:space="preserve">for certification purposes, a specimen (cancelled by mutilation) of the share or </w:t>
      </w:r>
      <w:r w:rsidRPr="00A42D23">
        <w:rPr>
          <w:rFonts w:ascii="Calibri" w:hAnsi="Calibri" w:cs="Calibri"/>
          <w:sz w:val="22"/>
          <w:szCs w:val="22"/>
        </w:rPr>
        <w:lastRenderedPageBreak/>
        <w:t>debenture certificates or other security in which it is proposed to deal. The share certificate should comply with Schedule 6;</w:t>
      </w:r>
      <w:r w:rsidRPr="00A42D23">
        <w:rPr>
          <w:rStyle w:val="FootnoteReference"/>
          <w:rFonts w:ascii="Calibri" w:eastAsiaTheme="majorEastAsia" w:hAnsi="Calibri" w:cs="Calibri"/>
          <w:sz w:val="22"/>
          <w:szCs w:val="22"/>
        </w:rPr>
        <w:t xml:space="preserve"> </w:t>
      </w:r>
      <w:r w:rsidRPr="00A42D23">
        <w:rPr>
          <w:rStyle w:val="FootnoteReference"/>
          <w:rFonts w:ascii="Calibri" w:eastAsiaTheme="majorEastAsia" w:hAnsi="Calibri" w:cs="Calibri"/>
          <w:sz w:val="22"/>
          <w:szCs w:val="22"/>
        </w:rPr>
        <w:footnoteReference w:customMarkFollows="1" w:id="18"/>
        <w:t> </w:t>
      </w:r>
    </w:p>
    <w:p w14:paraId="0D547604" w14:textId="6812F5D9"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(p)</w:t>
      </w:r>
      <w:r w:rsidRPr="00A42D23">
        <w:rPr>
          <w:rFonts w:ascii="Calibri" w:hAnsi="Calibri" w:cs="Calibri"/>
          <w:sz w:val="22"/>
          <w:szCs w:val="22"/>
        </w:rPr>
        <w:tab/>
        <w:t xml:space="preserve">the general undertaking by the company in the form of a resolution of the board of directors, certified by the chairman and complying with </w:t>
      </w:r>
      <w:r w:rsidR="00352F5F" w:rsidRPr="00A42D23">
        <w:rPr>
          <w:rFonts w:ascii="Calibri" w:hAnsi="Calibri" w:cs="Calibri"/>
          <w:sz w:val="22"/>
          <w:szCs w:val="22"/>
        </w:rPr>
        <w:t>Form C3</w:t>
      </w:r>
      <w:r w:rsidRPr="00A42D23">
        <w:rPr>
          <w:rFonts w:ascii="Calibri" w:hAnsi="Calibri" w:cs="Calibri"/>
          <w:sz w:val="22"/>
          <w:szCs w:val="22"/>
        </w:rPr>
        <w:t>;</w:t>
      </w:r>
      <w:r w:rsidRPr="00A42D23">
        <w:rPr>
          <w:rStyle w:val="FootnoteReference"/>
          <w:rFonts w:ascii="Calibri" w:eastAsiaTheme="majorEastAsia" w:hAnsi="Calibri" w:cs="Calibri"/>
          <w:sz w:val="22"/>
          <w:szCs w:val="22"/>
        </w:rPr>
        <w:t xml:space="preserve"> </w:t>
      </w:r>
      <w:r w:rsidRPr="00A42D23">
        <w:rPr>
          <w:rStyle w:val="FootnoteReference"/>
          <w:rFonts w:ascii="Calibri" w:eastAsiaTheme="majorEastAsia" w:hAnsi="Calibri" w:cs="Calibri"/>
          <w:sz w:val="22"/>
          <w:szCs w:val="22"/>
        </w:rPr>
        <w:footnoteReference w:customMarkFollows="1" w:id="19"/>
        <w:t> </w:t>
      </w:r>
    </w:p>
    <w:p w14:paraId="7C403A36" w14:textId="2E24B9C3"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(q)</w:t>
      </w:r>
      <w:r w:rsidRPr="00A42D23">
        <w:rPr>
          <w:rFonts w:ascii="Calibri" w:hAnsi="Calibri" w:cs="Calibri"/>
          <w:sz w:val="22"/>
          <w:szCs w:val="22"/>
        </w:rPr>
        <w:tab/>
        <w:t>certified copies of relevant experts’ consents;</w:t>
      </w:r>
      <w:r w:rsidRPr="00A42D23">
        <w:rPr>
          <w:rStyle w:val="FootnoteReference"/>
          <w:rFonts w:ascii="Calibri" w:eastAsiaTheme="majorEastAsia" w:hAnsi="Calibri" w:cs="Calibri"/>
          <w:sz w:val="22"/>
          <w:szCs w:val="22"/>
        </w:rPr>
        <w:footnoteReference w:customMarkFollows="1" w:id="20"/>
        <w:t> </w:t>
      </w:r>
    </w:p>
    <w:p w14:paraId="470623C0" w14:textId="77777777"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(r)</w:t>
      </w:r>
      <w:r w:rsidRPr="00A42D23">
        <w:rPr>
          <w:rFonts w:ascii="Calibri" w:hAnsi="Calibri" w:cs="Calibri"/>
          <w:sz w:val="22"/>
          <w:szCs w:val="22"/>
        </w:rPr>
        <w:tab/>
        <w:t>a statement by the applicant issuer’s company secretary stating:</w:t>
      </w:r>
      <w:r w:rsidRPr="00A42D23">
        <w:rPr>
          <w:rStyle w:val="FootnoteReference"/>
          <w:rFonts w:ascii="Calibri" w:eastAsiaTheme="majorEastAsia" w:hAnsi="Calibri" w:cs="Calibri"/>
          <w:sz w:val="22"/>
          <w:szCs w:val="22"/>
        </w:rPr>
        <w:t xml:space="preserve"> </w:t>
      </w:r>
      <w:r w:rsidRPr="00A42D23">
        <w:rPr>
          <w:rStyle w:val="FootnoteReference"/>
          <w:rFonts w:ascii="Calibri" w:eastAsiaTheme="majorEastAsia" w:hAnsi="Calibri" w:cs="Calibri"/>
          <w:sz w:val="22"/>
          <w:szCs w:val="22"/>
        </w:rPr>
        <w:footnoteReference w:customMarkFollows="1" w:id="21"/>
        <w:t> </w:t>
      </w:r>
    </w:p>
    <w:p w14:paraId="51965996"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w:t>
      </w:r>
      <w:r w:rsidRPr="00A42D23">
        <w:rPr>
          <w:rFonts w:ascii="Calibri" w:hAnsi="Calibri" w:cs="Calibri"/>
          <w:sz w:val="22"/>
          <w:szCs w:val="22"/>
        </w:rPr>
        <w:tab/>
        <w:t xml:space="preserve">the registered address and post office box </w:t>
      </w:r>
      <w:proofErr w:type="gramStart"/>
      <w:r w:rsidRPr="00A42D23">
        <w:rPr>
          <w:rFonts w:ascii="Calibri" w:hAnsi="Calibri" w:cs="Calibri"/>
          <w:sz w:val="22"/>
          <w:szCs w:val="22"/>
        </w:rPr>
        <w:t>number;</w:t>
      </w:r>
      <w:proofErr w:type="gramEnd"/>
    </w:p>
    <w:p w14:paraId="0FF7AB5C"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(ii)</w:t>
      </w:r>
      <w:r w:rsidRPr="00A42D23">
        <w:rPr>
          <w:rFonts w:ascii="Calibri" w:hAnsi="Calibri" w:cs="Calibri"/>
          <w:sz w:val="22"/>
          <w:szCs w:val="22"/>
        </w:rPr>
        <w:tab/>
        <w:t xml:space="preserve">the address and post office box number of the transfer </w:t>
      </w:r>
      <w:proofErr w:type="gramStart"/>
      <w:r w:rsidRPr="00A42D23">
        <w:rPr>
          <w:rFonts w:ascii="Calibri" w:hAnsi="Calibri" w:cs="Calibri"/>
          <w:sz w:val="22"/>
          <w:szCs w:val="22"/>
        </w:rPr>
        <w:t>office;</w:t>
      </w:r>
      <w:proofErr w:type="gramEnd"/>
    </w:p>
    <w:p w14:paraId="2B75900F"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(iii)</w:t>
      </w:r>
      <w:r w:rsidRPr="00A42D23">
        <w:rPr>
          <w:rFonts w:ascii="Calibri" w:hAnsi="Calibri" w:cs="Calibri"/>
          <w:sz w:val="22"/>
          <w:szCs w:val="22"/>
        </w:rPr>
        <w:tab/>
        <w:t xml:space="preserve">the name of the official authorised to deal with all matters relating to the company’s </w:t>
      </w:r>
      <w:proofErr w:type="gramStart"/>
      <w:r w:rsidRPr="00A42D23">
        <w:rPr>
          <w:rFonts w:ascii="Calibri" w:hAnsi="Calibri" w:cs="Calibri"/>
          <w:sz w:val="22"/>
          <w:szCs w:val="22"/>
        </w:rPr>
        <w:t>listing;</w:t>
      </w:r>
      <w:proofErr w:type="gramEnd"/>
    </w:p>
    <w:p w14:paraId="58246CA9"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(iv)</w:t>
      </w:r>
      <w:r w:rsidRPr="00A42D23">
        <w:rPr>
          <w:rFonts w:ascii="Calibri" w:hAnsi="Calibri" w:cs="Calibri"/>
          <w:sz w:val="22"/>
          <w:szCs w:val="22"/>
        </w:rPr>
        <w:tab/>
        <w:t>the date on which the financial year ends and confirmation of whether the applicant will be reporting on a quarterly basis;</w:t>
      </w:r>
      <w:r w:rsidRPr="00A42D23">
        <w:rPr>
          <w:rStyle w:val="FootnoteReference"/>
          <w:rFonts w:ascii="Calibri" w:eastAsiaTheme="majorEastAsia" w:hAnsi="Calibri" w:cs="Calibri"/>
          <w:sz w:val="22"/>
          <w:szCs w:val="22"/>
        </w:rPr>
        <w:footnoteReference w:customMarkFollows="1" w:id="22"/>
        <w:t> </w:t>
      </w:r>
    </w:p>
    <w:p w14:paraId="086967BD"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(v)</w:t>
      </w:r>
      <w:r w:rsidRPr="00A42D23">
        <w:rPr>
          <w:rFonts w:ascii="Calibri" w:hAnsi="Calibri" w:cs="Calibri"/>
          <w:sz w:val="22"/>
          <w:szCs w:val="22"/>
        </w:rPr>
        <w:tab/>
        <w:t xml:space="preserve">the approximate date on which the annual financial statements will be </w:t>
      </w:r>
      <w:proofErr w:type="gramStart"/>
      <w:r w:rsidRPr="00A42D23">
        <w:rPr>
          <w:rFonts w:ascii="Calibri" w:hAnsi="Calibri" w:cs="Calibri"/>
          <w:sz w:val="22"/>
          <w:szCs w:val="22"/>
        </w:rPr>
        <w:t>issued;</w:t>
      </w:r>
      <w:proofErr w:type="gramEnd"/>
    </w:p>
    <w:p w14:paraId="4EBD770E"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(vi)</w:t>
      </w:r>
      <w:r w:rsidRPr="00A42D23">
        <w:rPr>
          <w:rFonts w:ascii="Calibri" w:hAnsi="Calibri" w:cs="Calibri"/>
          <w:sz w:val="22"/>
          <w:szCs w:val="22"/>
        </w:rPr>
        <w:tab/>
        <w:t xml:space="preserve">the approximate date on which the annual general meeting will be </w:t>
      </w:r>
      <w:proofErr w:type="gramStart"/>
      <w:r w:rsidRPr="00A42D23">
        <w:rPr>
          <w:rFonts w:ascii="Calibri" w:hAnsi="Calibri" w:cs="Calibri"/>
          <w:sz w:val="22"/>
          <w:szCs w:val="22"/>
        </w:rPr>
        <w:t>held;</w:t>
      </w:r>
      <w:proofErr w:type="gramEnd"/>
    </w:p>
    <w:p w14:paraId="558D332B"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(vii)</w:t>
      </w:r>
      <w:r w:rsidRPr="00A42D23">
        <w:rPr>
          <w:rFonts w:ascii="Calibri" w:hAnsi="Calibri" w:cs="Calibri"/>
          <w:sz w:val="22"/>
          <w:szCs w:val="22"/>
        </w:rPr>
        <w:tab/>
        <w:t>the approximate date on which notices of the annual general meeting will be issued</w:t>
      </w:r>
      <w:r w:rsidRPr="00A42D23">
        <w:rPr>
          <w:rStyle w:val="FootnoteReference"/>
          <w:rFonts w:ascii="Calibri" w:eastAsiaTheme="majorEastAsia" w:hAnsi="Calibri" w:cs="Calibri"/>
          <w:sz w:val="22"/>
          <w:szCs w:val="22"/>
        </w:rPr>
        <w:footnoteReference w:customMarkFollows="1" w:id="23"/>
        <w:t> </w:t>
      </w:r>
      <w:r w:rsidRPr="00A42D23">
        <w:rPr>
          <w:rFonts w:ascii="Calibri" w:hAnsi="Calibri" w:cs="Calibri"/>
          <w:sz w:val="22"/>
          <w:szCs w:val="22"/>
        </w:rPr>
        <w:t xml:space="preserve">; </w:t>
      </w:r>
    </w:p>
    <w:p w14:paraId="24F0E5B8"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(viii)</w:t>
      </w:r>
      <w:r w:rsidRPr="00A42D23">
        <w:rPr>
          <w:rFonts w:ascii="Calibri" w:hAnsi="Calibri" w:cs="Calibri"/>
          <w:sz w:val="22"/>
          <w:szCs w:val="22"/>
        </w:rPr>
        <w:tab/>
        <w:t xml:space="preserve">regarding dividends, the approximate date of declarations and the date of </w:t>
      </w:r>
      <w:proofErr w:type="gramStart"/>
      <w:r w:rsidRPr="00A42D23">
        <w:rPr>
          <w:rFonts w:ascii="Calibri" w:hAnsi="Calibri" w:cs="Calibri"/>
          <w:sz w:val="22"/>
          <w:szCs w:val="22"/>
        </w:rPr>
        <w:t>payment;</w:t>
      </w:r>
      <w:proofErr w:type="gramEnd"/>
    </w:p>
    <w:p w14:paraId="48A9894D"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(ix)</w:t>
      </w:r>
      <w:r w:rsidRPr="00A42D23">
        <w:rPr>
          <w:rFonts w:ascii="Calibri" w:hAnsi="Calibri" w:cs="Calibri"/>
          <w:sz w:val="22"/>
          <w:szCs w:val="22"/>
        </w:rPr>
        <w:tab/>
        <w:t>its next financial reporting period; and</w:t>
      </w:r>
    </w:p>
    <w:p w14:paraId="2B05376D"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(x)</w:t>
      </w:r>
      <w:r w:rsidRPr="00A42D23">
        <w:rPr>
          <w:rFonts w:ascii="Calibri" w:hAnsi="Calibri" w:cs="Calibri"/>
          <w:sz w:val="22"/>
          <w:szCs w:val="22"/>
        </w:rPr>
        <w:tab/>
        <w:t xml:space="preserve">the names of the Chief Executive Officer, Financial Director and </w:t>
      </w:r>
      <w:proofErr w:type="gramStart"/>
      <w:r w:rsidRPr="00A42D23">
        <w:rPr>
          <w:rFonts w:ascii="Calibri" w:hAnsi="Calibri" w:cs="Calibri"/>
          <w:sz w:val="22"/>
          <w:szCs w:val="22"/>
        </w:rPr>
        <w:t>Chairman;</w:t>
      </w:r>
      <w:proofErr w:type="gramEnd"/>
    </w:p>
    <w:p w14:paraId="022C0C05" w14:textId="404D8ED7"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(s)</w:t>
      </w:r>
      <w:r w:rsidRPr="00A42D23">
        <w:rPr>
          <w:rFonts w:ascii="Calibri" w:hAnsi="Calibri" w:cs="Calibri"/>
          <w:sz w:val="22"/>
          <w:szCs w:val="22"/>
        </w:rPr>
        <w:tab/>
        <w:t xml:space="preserve">details relating to payment of the documentation and listing fee as published and available on the JSE website, </w:t>
      </w:r>
      <w:hyperlink r:id="rId6" w:history="1">
        <w:r w:rsidRPr="00A42D23">
          <w:rPr>
            <w:rStyle w:val="Hyperlink"/>
            <w:rFonts w:ascii="Calibri" w:hAnsi="Calibri" w:cs="Calibri"/>
            <w:sz w:val="22"/>
            <w:szCs w:val="22"/>
          </w:rPr>
          <w:t>www.jse.co.za</w:t>
        </w:r>
      </w:hyperlink>
      <w:r w:rsidRPr="00A42D23">
        <w:rPr>
          <w:rFonts w:ascii="Calibri" w:hAnsi="Calibri" w:cs="Calibri"/>
          <w:sz w:val="22"/>
          <w:szCs w:val="22"/>
        </w:rPr>
        <w:t xml:space="preserve">, per </w:t>
      </w:r>
      <w:r w:rsidR="001C46E5" w:rsidRPr="00A42D23">
        <w:rPr>
          <w:rFonts w:ascii="Calibri" w:hAnsi="Calibri" w:cs="Calibri"/>
          <w:sz w:val="22"/>
          <w:szCs w:val="22"/>
        </w:rPr>
        <w:t>6.14</w:t>
      </w:r>
      <w:r w:rsidRPr="00A42D23">
        <w:rPr>
          <w:rFonts w:ascii="Calibri" w:hAnsi="Calibri" w:cs="Calibri"/>
          <w:sz w:val="22"/>
          <w:szCs w:val="22"/>
        </w:rPr>
        <w:t>;</w:t>
      </w:r>
      <w:r w:rsidRPr="00A42D23">
        <w:rPr>
          <w:rStyle w:val="FootnoteReference"/>
          <w:rFonts w:ascii="Calibri" w:eastAsiaTheme="majorEastAsia" w:hAnsi="Calibri" w:cs="Calibri"/>
          <w:sz w:val="22"/>
          <w:szCs w:val="22"/>
        </w:rPr>
        <w:footnoteReference w:customMarkFollows="1" w:id="24"/>
        <w:t> </w:t>
      </w:r>
    </w:p>
    <w:p w14:paraId="1BBA9F35" w14:textId="249ED181"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w:t>
      </w:r>
      <w:r w:rsidR="001C46E5" w:rsidRPr="00A42D23">
        <w:rPr>
          <w:rFonts w:ascii="Calibri" w:hAnsi="Calibri" w:cs="Calibri"/>
          <w:sz w:val="22"/>
          <w:szCs w:val="22"/>
        </w:rPr>
        <w:t>t</w:t>
      </w:r>
      <w:r w:rsidRPr="00A42D23">
        <w:rPr>
          <w:rFonts w:ascii="Calibri" w:hAnsi="Calibri" w:cs="Calibri"/>
          <w:sz w:val="22"/>
          <w:szCs w:val="22"/>
        </w:rPr>
        <w:t>)</w:t>
      </w:r>
      <w:r w:rsidRPr="00A42D23">
        <w:rPr>
          <w:rFonts w:ascii="Calibri" w:hAnsi="Calibri" w:cs="Calibri"/>
          <w:sz w:val="22"/>
          <w:szCs w:val="22"/>
        </w:rPr>
        <w:tab/>
        <w:t>a letter signed by the chairman of the board of directors and by the chairman of the audit committee stating that:</w:t>
      </w:r>
      <w:r w:rsidRPr="00A42D23">
        <w:rPr>
          <w:rStyle w:val="FootnoteReference"/>
          <w:rFonts w:ascii="Calibri" w:eastAsiaTheme="majorEastAsia" w:hAnsi="Calibri" w:cs="Calibri"/>
          <w:sz w:val="22"/>
          <w:szCs w:val="22"/>
        </w:rPr>
        <w:t xml:space="preserve"> </w:t>
      </w:r>
      <w:r w:rsidRPr="00A42D23">
        <w:rPr>
          <w:rStyle w:val="FootnoteReference"/>
          <w:rFonts w:ascii="Calibri" w:eastAsiaTheme="majorEastAsia" w:hAnsi="Calibri" w:cs="Calibri"/>
          <w:sz w:val="22"/>
          <w:szCs w:val="22"/>
        </w:rPr>
        <w:footnoteReference w:customMarkFollows="1" w:id="25"/>
        <w:t> </w:t>
      </w:r>
    </w:p>
    <w:p w14:paraId="617A7477"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w:t>
      </w:r>
      <w:r w:rsidRPr="00A42D23">
        <w:rPr>
          <w:rFonts w:ascii="Calibri" w:hAnsi="Calibri" w:cs="Calibri"/>
          <w:sz w:val="22"/>
          <w:szCs w:val="22"/>
        </w:rPr>
        <w:tab/>
        <w:t>the financial information contained within the JSE circular has been considered by the audit committee and as part of that consideration it has inter alia:</w:t>
      </w:r>
    </w:p>
    <w:p w14:paraId="31D2EC9F" w14:textId="77777777" w:rsidR="002F3631" w:rsidRPr="00A42D23" w:rsidRDefault="002F3631" w:rsidP="00AD295B">
      <w:pPr>
        <w:pStyle w:val="000ai1aa"/>
        <w:rPr>
          <w:rFonts w:ascii="Calibri" w:hAnsi="Calibri" w:cs="Calibri"/>
          <w:sz w:val="22"/>
          <w:szCs w:val="22"/>
        </w:rPr>
      </w:pPr>
      <w:r w:rsidRPr="00A42D23">
        <w:rPr>
          <w:rFonts w:ascii="Calibri" w:hAnsi="Calibri" w:cs="Calibri"/>
          <w:sz w:val="22"/>
          <w:szCs w:val="22"/>
        </w:rPr>
        <w:tab/>
        <w:t>(aa)</w:t>
      </w:r>
      <w:r w:rsidRPr="00A42D23">
        <w:rPr>
          <w:rFonts w:ascii="Calibri" w:hAnsi="Calibri" w:cs="Calibri"/>
          <w:sz w:val="22"/>
          <w:szCs w:val="22"/>
        </w:rPr>
        <w:tab/>
        <w:t xml:space="preserve">specifically considered the accounting policies applied by the issuer as disclosed in the JSE circular and believes that they are </w:t>
      </w:r>
      <w:proofErr w:type="gramStart"/>
      <w:r w:rsidRPr="00A42D23">
        <w:rPr>
          <w:rFonts w:ascii="Calibri" w:hAnsi="Calibri" w:cs="Calibri"/>
          <w:sz w:val="22"/>
          <w:szCs w:val="22"/>
        </w:rPr>
        <w:t>appropriate;</w:t>
      </w:r>
      <w:proofErr w:type="gramEnd"/>
    </w:p>
    <w:p w14:paraId="03CC5F1D" w14:textId="77777777" w:rsidR="002F3631" w:rsidRPr="00A42D23" w:rsidRDefault="002F3631" w:rsidP="00AD295B">
      <w:pPr>
        <w:pStyle w:val="000ai1aa"/>
        <w:rPr>
          <w:rFonts w:ascii="Calibri" w:hAnsi="Calibri" w:cs="Calibri"/>
          <w:sz w:val="22"/>
          <w:szCs w:val="22"/>
        </w:rPr>
      </w:pPr>
      <w:r w:rsidRPr="00A42D23">
        <w:rPr>
          <w:rFonts w:ascii="Calibri" w:hAnsi="Calibri" w:cs="Calibri"/>
          <w:sz w:val="22"/>
          <w:szCs w:val="22"/>
        </w:rPr>
        <w:tab/>
        <w:t>(bb)</w:t>
      </w:r>
      <w:r w:rsidRPr="00A42D23">
        <w:rPr>
          <w:rFonts w:ascii="Calibri" w:hAnsi="Calibri" w:cs="Calibri"/>
          <w:sz w:val="22"/>
          <w:szCs w:val="22"/>
        </w:rPr>
        <w:tab/>
        <w:t>evaluated the significant judgements and reporting decisions made by management affecting the information and believes that they are appropriate;</w:t>
      </w:r>
      <w:r w:rsidRPr="00A42D23">
        <w:rPr>
          <w:rStyle w:val="FootnoteReference"/>
          <w:rFonts w:ascii="Calibri" w:eastAsiaTheme="majorEastAsia" w:hAnsi="Calibri" w:cs="Calibri"/>
          <w:sz w:val="22"/>
          <w:szCs w:val="22"/>
        </w:rPr>
        <w:footnoteReference w:customMarkFollows="1" w:id="26"/>
        <w:t> </w:t>
      </w:r>
    </w:p>
    <w:p w14:paraId="52699CB9" w14:textId="77777777" w:rsidR="002F3631" w:rsidRPr="00A42D23" w:rsidRDefault="002F3631" w:rsidP="00AD295B">
      <w:pPr>
        <w:pStyle w:val="000ai1aa"/>
        <w:rPr>
          <w:rFonts w:ascii="Calibri" w:hAnsi="Calibri" w:cs="Calibri"/>
          <w:sz w:val="22"/>
          <w:szCs w:val="22"/>
        </w:rPr>
      </w:pPr>
      <w:r w:rsidRPr="00A42D23">
        <w:rPr>
          <w:rFonts w:ascii="Calibri" w:hAnsi="Calibri" w:cs="Calibri"/>
          <w:sz w:val="22"/>
          <w:szCs w:val="22"/>
        </w:rPr>
        <w:lastRenderedPageBreak/>
        <w:tab/>
        <w:t>(cc)</w:t>
      </w:r>
      <w:r w:rsidRPr="00A42D23">
        <w:rPr>
          <w:rFonts w:ascii="Calibri" w:hAnsi="Calibri" w:cs="Calibri"/>
          <w:sz w:val="22"/>
          <w:szCs w:val="22"/>
        </w:rPr>
        <w:tab/>
        <w:t xml:space="preserve">evaluated the clarity and completeness of the financial disclosures and believes that the disclosure is </w:t>
      </w:r>
      <w:proofErr w:type="gramStart"/>
      <w:r w:rsidRPr="00A42D23">
        <w:rPr>
          <w:rFonts w:ascii="Calibri" w:hAnsi="Calibri" w:cs="Calibri"/>
          <w:sz w:val="22"/>
          <w:szCs w:val="22"/>
        </w:rPr>
        <w:t>appropriate;</w:t>
      </w:r>
      <w:proofErr w:type="gramEnd"/>
    </w:p>
    <w:p w14:paraId="38AE4019" w14:textId="77777777" w:rsidR="002F3631" w:rsidRPr="00A42D23" w:rsidRDefault="002F3631" w:rsidP="00AD295B">
      <w:pPr>
        <w:pStyle w:val="000ai1aa"/>
        <w:rPr>
          <w:rFonts w:ascii="Calibri" w:hAnsi="Calibri" w:cs="Calibri"/>
          <w:sz w:val="22"/>
          <w:szCs w:val="22"/>
        </w:rPr>
      </w:pPr>
      <w:r w:rsidRPr="00A42D23">
        <w:rPr>
          <w:rFonts w:ascii="Calibri" w:hAnsi="Calibri" w:cs="Calibri"/>
          <w:sz w:val="22"/>
          <w:szCs w:val="22"/>
        </w:rPr>
        <w:tab/>
        <w:t>(dd)</w:t>
      </w:r>
      <w:r w:rsidRPr="00A42D23">
        <w:rPr>
          <w:rFonts w:ascii="Calibri" w:hAnsi="Calibri" w:cs="Calibri"/>
          <w:sz w:val="22"/>
          <w:szCs w:val="22"/>
        </w:rPr>
        <w:tab/>
        <w:t xml:space="preserve">obtained explanations from management on the accounting for significant or unusual transactions and considered the views of the external auditors in these </w:t>
      </w:r>
      <w:proofErr w:type="gramStart"/>
      <w:r w:rsidRPr="00A42D23">
        <w:rPr>
          <w:rFonts w:ascii="Calibri" w:hAnsi="Calibri" w:cs="Calibri"/>
          <w:sz w:val="22"/>
          <w:szCs w:val="22"/>
        </w:rPr>
        <w:t>instances;</w:t>
      </w:r>
      <w:proofErr w:type="gramEnd"/>
    </w:p>
    <w:p w14:paraId="0FDDBF39" w14:textId="77777777" w:rsidR="002F3631" w:rsidRPr="00A42D23" w:rsidRDefault="002F3631" w:rsidP="00AD295B">
      <w:pPr>
        <w:pStyle w:val="000ai1aa"/>
        <w:rPr>
          <w:rFonts w:ascii="Calibri" w:hAnsi="Calibri" w:cs="Calibri"/>
          <w:sz w:val="22"/>
          <w:szCs w:val="22"/>
        </w:rPr>
      </w:pPr>
      <w:r w:rsidRPr="00A42D23">
        <w:rPr>
          <w:rFonts w:ascii="Calibri" w:hAnsi="Calibri" w:cs="Calibri"/>
          <w:sz w:val="22"/>
          <w:szCs w:val="22"/>
        </w:rPr>
        <w:tab/>
        <w:t>(ee)</w:t>
      </w:r>
      <w:r w:rsidRPr="00A42D23">
        <w:rPr>
          <w:rFonts w:ascii="Calibri" w:hAnsi="Calibri" w:cs="Calibri"/>
          <w:sz w:val="22"/>
          <w:szCs w:val="22"/>
        </w:rPr>
        <w:tab/>
        <w:t xml:space="preserve">understands how materiality has been evaluated for reporting purposes and believes that the materiality levels are </w:t>
      </w:r>
      <w:proofErr w:type="gramStart"/>
      <w:r w:rsidRPr="00A42D23">
        <w:rPr>
          <w:rFonts w:ascii="Calibri" w:hAnsi="Calibri" w:cs="Calibri"/>
          <w:sz w:val="22"/>
          <w:szCs w:val="22"/>
        </w:rPr>
        <w:t>appropriate;</w:t>
      </w:r>
      <w:proofErr w:type="gramEnd"/>
    </w:p>
    <w:p w14:paraId="48FDB3C4" w14:textId="77777777" w:rsidR="002F3631" w:rsidRPr="00A42D23" w:rsidRDefault="002F3631" w:rsidP="00AD295B">
      <w:pPr>
        <w:pStyle w:val="000ai1aa"/>
        <w:rPr>
          <w:rFonts w:ascii="Calibri" w:hAnsi="Calibri" w:cs="Calibri"/>
          <w:sz w:val="22"/>
          <w:szCs w:val="22"/>
        </w:rPr>
      </w:pPr>
      <w:r w:rsidRPr="00A42D23">
        <w:rPr>
          <w:rFonts w:ascii="Calibri" w:hAnsi="Calibri" w:cs="Calibri"/>
          <w:sz w:val="22"/>
          <w:szCs w:val="22"/>
        </w:rPr>
        <w:tab/>
        <w:t>(ff)</w:t>
      </w:r>
      <w:r w:rsidRPr="00A42D23">
        <w:rPr>
          <w:rFonts w:ascii="Calibri" w:hAnsi="Calibri" w:cs="Calibri"/>
          <w:sz w:val="22"/>
          <w:szCs w:val="22"/>
        </w:rPr>
        <w:tab/>
        <w:t xml:space="preserve">considered the effectiveness of internal financial controls and is satisfied with such </w:t>
      </w:r>
      <w:proofErr w:type="gramStart"/>
      <w:r w:rsidRPr="00A42D23">
        <w:rPr>
          <w:rFonts w:ascii="Calibri" w:hAnsi="Calibri" w:cs="Calibri"/>
          <w:sz w:val="22"/>
          <w:szCs w:val="22"/>
        </w:rPr>
        <w:t>controls;</w:t>
      </w:r>
      <w:proofErr w:type="gramEnd"/>
    </w:p>
    <w:p w14:paraId="47E639AC"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(ii)</w:t>
      </w:r>
      <w:r w:rsidRPr="00A42D23">
        <w:rPr>
          <w:rFonts w:ascii="Calibri" w:hAnsi="Calibri" w:cs="Calibri"/>
          <w:sz w:val="22"/>
          <w:szCs w:val="22"/>
        </w:rPr>
        <w:tab/>
        <w:t xml:space="preserve">the audit committee has recommended that the financial information be approved by the board of </w:t>
      </w:r>
      <w:proofErr w:type="gramStart"/>
      <w:r w:rsidRPr="00A42D23">
        <w:rPr>
          <w:rFonts w:ascii="Calibri" w:hAnsi="Calibri" w:cs="Calibri"/>
          <w:sz w:val="22"/>
          <w:szCs w:val="22"/>
        </w:rPr>
        <w:t>directors;</w:t>
      </w:r>
      <w:proofErr w:type="gramEnd"/>
    </w:p>
    <w:p w14:paraId="663F62A9"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(iii)</w:t>
      </w:r>
      <w:r w:rsidRPr="00A42D23">
        <w:rPr>
          <w:rFonts w:ascii="Calibri" w:hAnsi="Calibri" w:cs="Calibri"/>
          <w:sz w:val="22"/>
          <w:szCs w:val="22"/>
        </w:rPr>
        <w:tab/>
        <w:t xml:space="preserve">the board of directors has approved the financial information including the specific matters set out in paragraph 16.10(u)(i) </w:t>
      </w:r>
      <w:proofErr w:type="gramStart"/>
      <w:r w:rsidRPr="00A42D23">
        <w:rPr>
          <w:rFonts w:ascii="Calibri" w:hAnsi="Calibri" w:cs="Calibri"/>
          <w:sz w:val="22"/>
          <w:szCs w:val="22"/>
        </w:rPr>
        <w:t>above;</w:t>
      </w:r>
      <w:proofErr w:type="gramEnd"/>
    </w:p>
    <w:p w14:paraId="28B8CBCE"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(iv)</w:t>
      </w:r>
      <w:r w:rsidRPr="00A42D23">
        <w:rPr>
          <w:rFonts w:ascii="Calibri" w:hAnsi="Calibri" w:cs="Calibri"/>
          <w:sz w:val="22"/>
          <w:szCs w:val="22"/>
        </w:rPr>
        <w:tab/>
        <w:t xml:space="preserve">the board of directors to the best of their knowledge believes that the accounting policies disclosed in the circular will be applied in the next reporting </w:t>
      </w:r>
      <w:proofErr w:type="gramStart"/>
      <w:r w:rsidRPr="00A42D23">
        <w:rPr>
          <w:rFonts w:ascii="Calibri" w:hAnsi="Calibri" w:cs="Calibri"/>
          <w:sz w:val="22"/>
          <w:szCs w:val="22"/>
        </w:rPr>
        <w:t>period;</w:t>
      </w:r>
      <w:proofErr w:type="gramEnd"/>
    </w:p>
    <w:p w14:paraId="546F7294"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(v)</w:t>
      </w:r>
      <w:r w:rsidRPr="00A42D23">
        <w:rPr>
          <w:rFonts w:ascii="Calibri" w:hAnsi="Calibri" w:cs="Calibri"/>
          <w:sz w:val="22"/>
          <w:szCs w:val="22"/>
        </w:rPr>
        <w:tab/>
        <w:t>the board of directors considers the internal controls of the issuer to be effective; and</w:t>
      </w:r>
      <w:r w:rsidRPr="00A42D23">
        <w:rPr>
          <w:rStyle w:val="FootnoteReference"/>
          <w:rFonts w:ascii="Calibri" w:eastAsiaTheme="majorEastAsia" w:hAnsi="Calibri" w:cs="Calibri"/>
          <w:sz w:val="22"/>
          <w:szCs w:val="22"/>
        </w:rPr>
        <w:footnoteReference w:customMarkFollows="1" w:id="27"/>
        <w:t> </w:t>
      </w:r>
    </w:p>
    <w:p w14:paraId="528B8250"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(vi)</w:t>
      </w:r>
      <w:r w:rsidRPr="00A42D23">
        <w:rPr>
          <w:rFonts w:ascii="Calibri" w:hAnsi="Calibri" w:cs="Calibri"/>
          <w:sz w:val="22"/>
          <w:szCs w:val="22"/>
        </w:rPr>
        <w:tab/>
        <w:t>the audit committee has complied with paragraph 3.84(g).</w:t>
      </w:r>
      <w:r w:rsidRPr="00A42D23">
        <w:rPr>
          <w:rStyle w:val="FootnoteReference"/>
          <w:rFonts w:ascii="Calibri" w:eastAsiaTheme="majorEastAsia" w:hAnsi="Calibri" w:cs="Calibri"/>
          <w:sz w:val="22"/>
          <w:szCs w:val="22"/>
        </w:rPr>
        <w:footnoteReference w:customMarkFollows="1" w:id="28"/>
        <w:t> </w:t>
      </w:r>
    </w:p>
    <w:p w14:paraId="4D131C24" w14:textId="4A392038" w:rsidR="002F3631" w:rsidRPr="00A42D23" w:rsidRDefault="001C46E5" w:rsidP="00AD295B">
      <w:pPr>
        <w:pStyle w:val="0000"/>
        <w:rPr>
          <w:rFonts w:ascii="Calibri" w:hAnsi="Calibri" w:cs="Calibri"/>
          <w:sz w:val="22"/>
          <w:szCs w:val="22"/>
        </w:rPr>
      </w:pPr>
      <w:r w:rsidRPr="00A42D23">
        <w:rPr>
          <w:rFonts w:ascii="Calibri" w:hAnsi="Calibri" w:cs="Calibri"/>
          <w:sz w:val="22"/>
          <w:szCs w:val="22"/>
        </w:rPr>
        <w:t>1.3</w:t>
      </w:r>
      <w:r w:rsidR="002F3631" w:rsidRPr="00A42D23">
        <w:rPr>
          <w:rFonts w:ascii="Calibri" w:hAnsi="Calibri" w:cs="Calibri"/>
          <w:sz w:val="22"/>
          <w:szCs w:val="22"/>
        </w:rPr>
        <w:tab/>
        <w:t>Should amendments be required by the JSE, the amended document must be submitted and approved, prior to issue.</w:t>
      </w:r>
    </w:p>
    <w:p w14:paraId="712B6C30" w14:textId="25E8DE96" w:rsidR="002F3631" w:rsidRPr="00A42D23" w:rsidRDefault="002F3631" w:rsidP="00AD295B">
      <w:pPr>
        <w:pStyle w:val="head2"/>
        <w:jc w:val="both"/>
        <w:rPr>
          <w:rFonts w:ascii="Calibri" w:hAnsi="Calibri" w:cs="Calibri"/>
          <w:sz w:val="22"/>
          <w:szCs w:val="22"/>
        </w:rPr>
      </w:pPr>
      <w:r w:rsidRPr="00A42D23">
        <w:rPr>
          <w:rFonts w:ascii="Calibri" w:hAnsi="Calibri" w:cs="Calibri"/>
          <w:sz w:val="22"/>
          <w:szCs w:val="22"/>
        </w:rPr>
        <w:t xml:space="preserve">Part II </w:t>
      </w:r>
      <w:r w:rsidR="001C46E5" w:rsidRPr="00A42D23">
        <w:rPr>
          <w:rFonts w:ascii="Calibri" w:hAnsi="Calibri" w:cs="Calibri"/>
          <w:sz w:val="22"/>
          <w:szCs w:val="22"/>
        </w:rPr>
        <w:t>D</w:t>
      </w:r>
      <w:r w:rsidRPr="00A42D23">
        <w:rPr>
          <w:rFonts w:ascii="Calibri" w:hAnsi="Calibri" w:cs="Calibri"/>
          <w:sz w:val="22"/>
          <w:szCs w:val="22"/>
        </w:rPr>
        <w:t>ocuments</w:t>
      </w:r>
    </w:p>
    <w:p w14:paraId="29E268D9" w14:textId="1E6F6386" w:rsidR="002F3631" w:rsidRPr="00A42D23" w:rsidRDefault="001C46E5" w:rsidP="00AD295B">
      <w:pPr>
        <w:pStyle w:val="0000"/>
        <w:rPr>
          <w:rFonts w:ascii="Calibri" w:hAnsi="Calibri" w:cs="Calibri"/>
          <w:sz w:val="22"/>
          <w:szCs w:val="22"/>
        </w:rPr>
      </w:pPr>
      <w:r w:rsidRPr="00A42D23">
        <w:rPr>
          <w:rFonts w:ascii="Calibri" w:hAnsi="Calibri" w:cs="Calibri"/>
          <w:sz w:val="22"/>
          <w:szCs w:val="22"/>
        </w:rPr>
        <w:t>1.</w:t>
      </w:r>
      <w:r w:rsidR="004B58A4" w:rsidRPr="00A42D23">
        <w:rPr>
          <w:rFonts w:ascii="Calibri" w:hAnsi="Calibri" w:cs="Calibri"/>
          <w:sz w:val="22"/>
          <w:szCs w:val="22"/>
        </w:rPr>
        <w:t>4</w:t>
      </w:r>
      <w:r w:rsidR="002F3631" w:rsidRPr="00A42D23">
        <w:rPr>
          <w:rFonts w:ascii="Calibri" w:hAnsi="Calibri" w:cs="Calibri"/>
          <w:sz w:val="22"/>
          <w:szCs w:val="22"/>
        </w:rPr>
        <w:tab/>
        <w:t>The following documents are classified as Part II documents and must be received by the JSE no later than 48 hours before the date of listing, unless the listing timetable, which has been approved by the JSE, precludes such submission, in which case the relevant Part II documents must be submitted to the JSE at such time that is acceptable to the JSE:</w:t>
      </w:r>
      <w:r w:rsidR="002F3631" w:rsidRPr="00A42D23">
        <w:rPr>
          <w:rStyle w:val="FootnoteReference"/>
          <w:rFonts w:ascii="Calibri" w:eastAsiaTheme="majorEastAsia" w:hAnsi="Calibri" w:cs="Calibri"/>
          <w:sz w:val="22"/>
          <w:szCs w:val="22"/>
        </w:rPr>
        <w:footnoteReference w:customMarkFollows="1" w:id="29"/>
        <w:t> </w:t>
      </w:r>
    </w:p>
    <w:p w14:paraId="6DDD0699" w14:textId="77777777"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(a)</w:t>
      </w:r>
      <w:r w:rsidRPr="00A42D23">
        <w:rPr>
          <w:rFonts w:ascii="Calibri" w:hAnsi="Calibri" w:cs="Calibri"/>
          <w:sz w:val="22"/>
          <w:szCs w:val="22"/>
        </w:rPr>
        <w:tab/>
        <w:t xml:space="preserve">a certificate by the company’s sponsor certifying that the information published in the pre-listing statement/prospectus (in full or abridged form) was materially the same as that contained in the signed pre-listing statement/prospectus approved by the JSE or, if not, then in what material respects it </w:t>
      </w:r>
      <w:proofErr w:type="gramStart"/>
      <w:r w:rsidRPr="00A42D23">
        <w:rPr>
          <w:rFonts w:ascii="Calibri" w:hAnsi="Calibri" w:cs="Calibri"/>
          <w:sz w:val="22"/>
          <w:szCs w:val="22"/>
        </w:rPr>
        <w:t>differed;</w:t>
      </w:r>
      <w:proofErr w:type="gramEnd"/>
    </w:p>
    <w:p w14:paraId="53531D82" w14:textId="77777777"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(b)</w:t>
      </w:r>
      <w:r w:rsidRPr="00A42D23">
        <w:rPr>
          <w:rFonts w:ascii="Calibri" w:hAnsi="Calibri" w:cs="Calibri"/>
          <w:sz w:val="22"/>
          <w:szCs w:val="22"/>
        </w:rPr>
        <w:tab/>
        <w:t>a certified copy of any prospectus or pre-listing statement to be published in connection with the issue, dated and signed by the directors of the company or, in their absence, by their respective alternates or by person(s) making the offer;</w:t>
      </w:r>
      <w:r w:rsidRPr="00A42D23">
        <w:rPr>
          <w:rStyle w:val="FootnoteReference"/>
          <w:rFonts w:ascii="Calibri" w:eastAsiaTheme="majorEastAsia" w:hAnsi="Calibri" w:cs="Calibri"/>
          <w:sz w:val="22"/>
          <w:szCs w:val="22"/>
        </w:rPr>
        <w:footnoteReference w:customMarkFollows="1" w:id="30"/>
        <w:t> </w:t>
      </w:r>
    </w:p>
    <w:p w14:paraId="369FDCDE" w14:textId="77777777"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(c)</w:t>
      </w:r>
      <w:r w:rsidRPr="00A42D23">
        <w:rPr>
          <w:rFonts w:ascii="Calibri" w:hAnsi="Calibri" w:cs="Calibri"/>
          <w:sz w:val="22"/>
          <w:szCs w:val="22"/>
        </w:rPr>
        <w:tab/>
        <w:t>the following information must be submitted in respect of public shareholders, irrespective of whether the listing has been sought through a placing, introduction, offer for sale or subscription:</w:t>
      </w:r>
      <w:r w:rsidRPr="00A42D23">
        <w:rPr>
          <w:rStyle w:val="FootnoteReference"/>
          <w:rFonts w:ascii="Calibri" w:eastAsiaTheme="majorEastAsia" w:hAnsi="Calibri" w:cs="Calibri"/>
          <w:sz w:val="22"/>
          <w:szCs w:val="22"/>
        </w:rPr>
        <w:footnoteReference w:customMarkFollows="1" w:id="31"/>
        <w:t> </w:t>
      </w:r>
    </w:p>
    <w:p w14:paraId="2DE905EB"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w:t>
      </w:r>
      <w:r w:rsidRPr="00A42D23">
        <w:rPr>
          <w:rFonts w:ascii="Calibri" w:hAnsi="Calibri" w:cs="Calibri"/>
          <w:sz w:val="22"/>
          <w:szCs w:val="22"/>
        </w:rPr>
        <w:tab/>
        <w:t>a list of shareholders, clearly distinguishing between public shareholders and non-</w:t>
      </w:r>
      <w:r w:rsidRPr="00A42D23">
        <w:rPr>
          <w:rFonts w:ascii="Calibri" w:hAnsi="Calibri" w:cs="Calibri"/>
          <w:sz w:val="22"/>
          <w:szCs w:val="22"/>
        </w:rPr>
        <w:lastRenderedPageBreak/>
        <w:t>public shareholders;</w:t>
      </w:r>
      <w:r w:rsidRPr="00A42D23">
        <w:rPr>
          <w:rStyle w:val="FootnoteReference"/>
          <w:rFonts w:ascii="Calibri" w:eastAsiaTheme="majorEastAsia" w:hAnsi="Calibri" w:cs="Calibri"/>
          <w:sz w:val="22"/>
          <w:szCs w:val="22"/>
        </w:rPr>
        <w:footnoteReference w:customMarkFollows="1" w:id="32"/>
        <w:t> </w:t>
      </w:r>
    </w:p>
    <w:p w14:paraId="5F94D6F8" w14:textId="77777777"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(ii)</w:t>
      </w:r>
      <w:r w:rsidRPr="00A42D23">
        <w:rPr>
          <w:rFonts w:ascii="Calibri" w:hAnsi="Calibri" w:cs="Calibri"/>
          <w:sz w:val="22"/>
          <w:szCs w:val="22"/>
        </w:rPr>
        <w:tab/>
        <w:t>the number and issue/listing price per share; and</w:t>
      </w:r>
      <w:r w:rsidRPr="00A42D23">
        <w:rPr>
          <w:rStyle w:val="FootnoteReference"/>
          <w:rFonts w:ascii="Calibri" w:eastAsiaTheme="majorEastAsia" w:hAnsi="Calibri" w:cs="Calibri"/>
          <w:sz w:val="22"/>
          <w:szCs w:val="22"/>
        </w:rPr>
        <w:footnoteReference w:customMarkFollows="1" w:id="33"/>
        <w:t> </w:t>
      </w:r>
    </w:p>
    <w:p w14:paraId="6C07D6AF" w14:textId="591F4308"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t>(iii)</w:t>
      </w:r>
      <w:r w:rsidRPr="00A42D23">
        <w:rPr>
          <w:rFonts w:ascii="Calibri" w:hAnsi="Calibri" w:cs="Calibri"/>
          <w:sz w:val="22"/>
          <w:szCs w:val="22"/>
        </w:rPr>
        <w:tab/>
        <w:t xml:space="preserve">a positive confirmation from the sponsor and the board of directors of the applicant issuer confirming that the required </w:t>
      </w:r>
      <w:r w:rsidR="00F77836" w:rsidRPr="00A42D23">
        <w:rPr>
          <w:rFonts w:ascii="Calibri" w:hAnsi="Calibri" w:cs="Calibri"/>
          <w:sz w:val="22"/>
          <w:szCs w:val="22"/>
        </w:rPr>
        <w:t>free float</w:t>
      </w:r>
      <w:r w:rsidRPr="00A42D23">
        <w:rPr>
          <w:rFonts w:ascii="Calibri" w:hAnsi="Calibri" w:cs="Calibri"/>
          <w:sz w:val="22"/>
          <w:szCs w:val="22"/>
        </w:rPr>
        <w:t xml:space="preserve"> has been achieved. The positive confirmation must be supported by an analysis of shareholders, distinguishing between public shareholders and non-public shareholde</w:t>
      </w:r>
      <w:r w:rsidR="00F77836" w:rsidRPr="00A42D23">
        <w:rPr>
          <w:rFonts w:ascii="Calibri" w:hAnsi="Calibri" w:cs="Calibri"/>
          <w:sz w:val="22"/>
          <w:szCs w:val="22"/>
        </w:rPr>
        <w:t>rs</w:t>
      </w:r>
      <w:r w:rsidRPr="00A42D23">
        <w:rPr>
          <w:rFonts w:ascii="Calibri" w:hAnsi="Calibri" w:cs="Calibri"/>
          <w:sz w:val="22"/>
          <w:szCs w:val="22"/>
        </w:rPr>
        <w:t>, with a detailed explanation on how the public shareholders provisions were applied</w:t>
      </w:r>
      <w:r w:rsidR="00F77836" w:rsidRPr="00A42D23">
        <w:rPr>
          <w:rFonts w:ascii="Calibri" w:hAnsi="Calibri" w:cs="Calibri"/>
          <w:sz w:val="22"/>
          <w:szCs w:val="22"/>
        </w:rPr>
        <w:t xml:space="preserve"> as defined</w:t>
      </w:r>
      <w:r w:rsidRPr="00A42D23">
        <w:rPr>
          <w:rFonts w:ascii="Calibri" w:hAnsi="Calibri" w:cs="Calibri"/>
          <w:sz w:val="22"/>
          <w:szCs w:val="22"/>
        </w:rPr>
        <w:t>;</w:t>
      </w:r>
      <w:r w:rsidRPr="00A42D23">
        <w:rPr>
          <w:rStyle w:val="FootnoteReference"/>
          <w:rFonts w:ascii="Calibri" w:eastAsiaTheme="majorEastAsia" w:hAnsi="Calibri" w:cs="Calibri"/>
          <w:sz w:val="22"/>
          <w:szCs w:val="22"/>
        </w:rPr>
        <w:footnoteReference w:customMarkFollows="1" w:id="34"/>
        <w:t> </w:t>
      </w:r>
      <w:r w:rsidRPr="00A42D23">
        <w:rPr>
          <w:rStyle w:val="FootnoteReference"/>
          <w:rFonts w:ascii="Calibri" w:eastAsiaTheme="majorEastAsia" w:hAnsi="Calibri" w:cs="Calibri"/>
          <w:sz w:val="22"/>
          <w:szCs w:val="22"/>
        </w:rPr>
        <w:footnoteReference w:customMarkFollows="1" w:id="35"/>
        <w:t> </w:t>
      </w:r>
    </w:p>
    <w:p w14:paraId="03C3FBAD" w14:textId="77777777"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(d)</w:t>
      </w:r>
      <w:r w:rsidRPr="00A42D23">
        <w:rPr>
          <w:rFonts w:ascii="Calibri" w:hAnsi="Calibri" w:cs="Calibri"/>
          <w:sz w:val="22"/>
          <w:szCs w:val="22"/>
        </w:rPr>
        <w:tab/>
        <w:t xml:space="preserve">the published pre-listing statement/prospectus or circular, which is required for circulation to members, must be submitted electronically and directly to the information database maintained by Issuer Regulation Division for publication on the JSE website, together with one hard copy, signed by the </w:t>
      </w:r>
      <w:proofErr w:type="gramStart"/>
      <w:r w:rsidRPr="00A42D23">
        <w:rPr>
          <w:rFonts w:ascii="Calibri" w:hAnsi="Calibri" w:cs="Calibri"/>
          <w:sz w:val="22"/>
          <w:szCs w:val="22"/>
        </w:rPr>
        <w:t>directors;</w:t>
      </w:r>
      <w:proofErr w:type="gramEnd"/>
      <w:r w:rsidRPr="00A42D23">
        <w:rPr>
          <w:rFonts w:ascii="Calibri" w:hAnsi="Calibri" w:cs="Calibri"/>
          <w:sz w:val="22"/>
          <w:szCs w:val="22"/>
        </w:rPr>
        <w:footnoteReference w:customMarkFollows="1" w:id="36"/>
        <w:t> </w:t>
      </w:r>
    </w:p>
    <w:p w14:paraId="109AD851" w14:textId="3354E72D"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(e)</w:t>
      </w:r>
      <w:r w:rsidRPr="00A42D23">
        <w:rPr>
          <w:rFonts w:ascii="Calibri" w:hAnsi="Calibri" w:cs="Calibri"/>
          <w:sz w:val="22"/>
          <w:szCs w:val="22"/>
        </w:rPr>
        <w:tab/>
        <w:t>the statutory declaration complying with</w:t>
      </w:r>
      <w:r w:rsidR="0007031D" w:rsidRPr="00A42D23">
        <w:rPr>
          <w:rFonts w:ascii="Calibri" w:hAnsi="Calibri" w:cs="Calibri"/>
          <w:sz w:val="22"/>
          <w:szCs w:val="22"/>
        </w:rPr>
        <w:t xml:space="preserve"> Form </w:t>
      </w:r>
      <w:proofErr w:type="gramStart"/>
      <w:r w:rsidR="0007031D" w:rsidRPr="00A42D23">
        <w:rPr>
          <w:rFonts w:ascii="Calibri" w:hAnsi="Calibri" w:cs="Calibri"/>
          <w:sz w:val="22"/>
          <w:szCs w:val="22"/>
        </w:rPr>
        <w:t>C4</w:t>
      </w:r>
      <w:r w:rsidRPr="00A42D23">
        <w:rPr>
          <w:rFonts w:ascii="Calibri" w:hAnsi="Calibri" w:cs="Calibri"/>
          <w:sz w:val="22"/>
          <w:szCs w:val="22"/>
        </w:rPr>
        <w:t>;</w:t>
      </w:r>
      <w:proofErr w:type="gramEnd"/>
      <w:r w:rsidRPr="00A42D23">
        <w:rPr>
          <w:rFonts w:ascii="Calibri" w:hAnsi="Calibri" w:cs="Calibri"/>
          <w:sz w:val="22"/>
          <w:szCs w:val="22"/>
        </w:rPr>
        <w:t xml:space="preserve"> </w:t>
      </w:r>
    </w:p>
    <w:p w14:paraId="1F69654F" w14:textId="49D318AC"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(f)</w:t>
      </w:r>
      <w:r w:rsidRPr="00A42D23">
        <w:rPr>
          <w:rFonts w:ascii="Calibri" w:hAnsi="Calibri" w:cs="Calibri"/>
          <w:sz w:val="22"/>
          <w:szCs w:val="22"/>
        </w:rPr>
        <w:tab/>
        <w:t xml:space="preserve">written confirmation by the sponsor and the board of directors of the applicant issuer that no material objections were reported/notified to the sponsor or applicant issuer in respect of the listing of the applicant issuer from the release date of the announcement </w:t>
      </w:r>
      <w:r w:rsidR="00B44564" w:rsidRPr="00A42D23">
        <w:rPr>
          <w:rFonts w:ascii="Calibri" w:hAnsi="Calibri" w:cs="Calibri"/>
          <w:sz w:val="22"/>
          <w:szCs w:val="22"/>
        </w:rPr>
        <w:t>in terms of 10.32</w:t>
      </w:r>
      <w:r w:rsidRPr="00A42D23">
        <w:rPr>
          <w:rFonts w:ascii="Calibri" w:hAnsi="Calibri" w:cs="Calibri"/>
          <w:sz w:val="22"/>
          <w:szCs w:val="22"/>
        </w:rPr>
        <w:t>; and</w:t>
      </w:r>
      <w:r w:rsidRPr="00A42D23">
        <w:rPr>
          <w:rStyle w:val="FootnoteReference"/>
          <w:rFonts w:ascii="Calibri" w:eastAsiaTheme="majorEastAsia" w:hAnsi="Calibri" w:cs="Calibri"/>
          <w:sz w:val="22"/>
          <w:szCs w:val="22"/>
        </w:rPr>
        <w:footnoteReference w:customMarkFollows="1" w:id="37"/>
        <w:t> </w:t>
      </w:r>
    </w:p>
    <w:p w14:paraId="29603EEC" w14:textId="56FB0AE3" w:rsidR="002F3631" w:rsidRPr="00A42D23" w:rsidRDefault="002F3631" w:rsidP="00AD295B">
      <w:pPr>
        <w:pStyle w:val="a-0000"/>
        <w:rPr>
          <w:rFonts w:ascii="Calibri" w:hAnsi="Calibri" w:cs="Calibri"/>
          <w:sz w:val="22"/>
          <w:szCs w:val="22"/>
        </w:rPr>
      </w:pPr>
      <w:r w:rsidRPr="00A42D23">
        <w:rPr>
          <w:rFonts w:ascii="Calibri" w:hAnsi="Calibri" w:cs="Calibri"/>
          <w:sz w:val="22"/>
          <w:szCs w:val="22"/>
        </w:rPr>
        <w:tab/>
        <w:t>(g)</w:t>
      </w:r>
      <w:r w:rsidRPr="00A42D23">
        <w:rPr>
          <w:rFonts w:ascii="Calibri" w:hAnsi="Calibri" w:cs="Calibri"/>
          <w:sz w:val="22"/>
          <w:szCs w:val="22"/>
        </w:rPr>
        <w:tab/>
        <w:t>a letter provided by the sponsor to the JSE by 15h30, on the business day before the date of listing confirming that –</w:t>
      </w:r>
    </w:p>
    <w:p w14:paraId="6C5AB88D" w14:textId="169D13CB"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r>
      <w:r w:rsidR="00EC0355" w:rsidRPr="00A42D23">
        <w:rPr>
          <w:rFonts w:ascii="Calibri" w:hAnsi="Calibri" w:cs="Calibri"/>
          <w:sz w:val="22"/>
          <w:szCs w:val="22"/>
        </w:rPr>
        <w:t>(i)</w:t>
      </w:r>
      <w:r w:rsidRPr="00A42D23">
        <w:rPr>
          <w:rFonts w:ascii="Calibri" w:hAnsi="Calibri" w:cs="Calibri"/>
          <w:sz w:val="22"/>
          <w:szCs w:val="22"/>
        </w:rPr>
        <w:tab/>
        <w:t>the funds raised pursuant to the granting of allocations of shares in respect of the listing have been earmarked for settlement on the listing date and have been matched, in favour of the applicant; and</w:t>
      </w:r>
    </w:p>
    <w:p w14:paraId="6F66EABD" w14:textId="1477D9D3" w:rsidR="002F3631" w:rsidRPr="00A42D23" w:rsidRDefault="002F3631" w:rsidP="00AD295B">
      <w:pPr>
        <w:pStyle w:val="i-0000a"/>
        <w:rPr>
          <w:rFonts w:ascii="Calibri" w:hAnsi="Calibri" w:cs="Calibri"/>
          <w:sz w:val="22"/>
          <w:szCs w:val="22"/>
        </w:rPr>
      </w:pPr>
      <w:r w:rsidRPr="00A42D23">
        <w:rPr>
          <w:rFonts w:ascii="Calibri" w:hAnsi="Calibri" w:cs="Calibri"/>
          <w:sz w:val="22"/>
          <w:szCs w:val="22"/>
        </w:rPr>
        <w:tab/>
      </w:r>
      <w:r w:rsidR="00EC0355" w:rsidRPr="00A42D23">
        <w:rPr>
          <w:rFonts w:ascii="Calibri" w:hAnsi="Calibri" w:cs="Calibri"/>
          <w:sz w:val="22"/>
          <w:szCs w:val="22"/>
        </w:rPr>
        <w:t>(ii)</w:t>
      </w:r>
      <w:r w:rsidRPr="00A42D23">
        <w:rPr>
          <w:rFonts w:ascii="Calibri" w:hAnsi="Calibri" w:cs="Calibri"/>
          <w:sz w:val="22"/>
          <w:szCs w:val="22"/>
        </w:rPr>
        <w:tab/>
        <w:t xml:space="preserve">that the required </w:t>
      </w:r>
      <w:r w:rsidR="00771755" w:rsidRPr="00A42D23">
        <w:rPr>
          <w:rFonts w:ascii="Calibri" w:hAnsi="Calibri" w:cs="Calibri"/>
          <w:sz w:val="22"/>
          <w:szCs w:val="22"/>
        </w:rPr>
        <w:t>free float</w:t>
      </w:r>
      <w:r w:rsidRPr="00A42D23">
        <w:rPr>
          <w:rFonts w:ascii="Calibri" w:hAnsi="Calibri" w:cs="Calibri"/>
          <w:sz w:val="22"/>
          <w:szCs w:val="22"/>
        </w:rPr>
        <w:t xml:space="preserve"> of shareholders</w:t>
      </w:r>
      <w:r w:rsidR="00771755" w:rsidRPr="00A42D23">
        <w:rPr>
          <w:rFonts w:ascii="Calibri" w:hAnsi="Calibri" w:cs="Calibri"/>
          <w:sz w:val="22"/>
          <w:szCs w:val="22"/>
        </w:rPr>
        <w:t xml:space="preserve"> </w:t>
      </w:r>
      <w:r w:rsidRPr="00A42D23">
        <w:rPr>
          <w:rFonts w:ascii="Calibri" w:hAnsi="Calibri" w:cs="Calibri"/>
          <w:sz w:val="22"/>
          <w:szCs w:val="22"/>
        </w:rPr>
        <w:t>has been achieved</w:t>
      </w:r>
      <w:r w:rsidRPr="00A42D23">
        <w:rPr>
          <w:rStyle w:val="FootnoteReference"/>
          <w:rFonts w:ascii="Calibri" w:eastAsiaTheme="majorEastAsia" w:hAnsi="Calibri" w:cs="Calibri"/>
          <w:sz w:val="22"/>
          <w:szCs w:val="22"/>
        </w:rPr>
        <w:footnoteReference w:customMarkFollows="1" w:id="38"/>
        <w:t> </w:t>
      </w:r>
    </w:p>
    <w:p w14:paraId="5A4835B1" w14:textId="65BF921B" w:rsidR="002F3631" w:rsidRPr="00A42D23" w:rsidRDefault="008E33D2" w:rsidP="00AD295B">
      <w:pPr>
        <w:pStyle w:val="0000"/>
        <w:rPr>
          <w:rFonts w:ascii="Calibri" w:hAnsi="Calibri" w:cs="Calibri"/>
          <w:sz w:val="22"/>
          <w:szCs w:val="22"/>
        </w:rPr>
      </w:pPr>
      <w:r w:rsidRPr="00A42D23">
        <w:rPr>
          <w:rFonts w:ascii="Calibri" w:hAnsi="Calibri" w:cs="Calibri"/>
          <w:sz w:val="22"/>
          <w:szCs w:val="22"/>
        </w:rPr>
        <w:t>1.5</w:t>
      </w:r>
      <w:r w:rsidR="002F3631" w:rsidRPr="00A42D23">
        <w:rPr>
          <w:rFonts w:ascii="Calibri" w:hAnsi="Calibri" w:cs="Calibri"/>
          <w:sz w:val="22"/>
          <w:szCs w:val="22"/>
        </w:rPr>
        <w:tab/>
        <w:t>Where any of the documents listed in Part II are available at the date of submission of the Part I documents, they should be submitted to the JSE together with the Part I documents.</w:t>
      </w:r>
      <w:r w:rsidR="002F3631" w:rsidRPr="00A42D23">
        <w:rPr>
          <w:rStyle w:val="FootnoteReference"/>
          <w:rFonts w:ascii="Calibri" w:eastAsiaTheme="majorEastAsia" w:hAnsi="Calibri" w:cs="Calibri"/>
          <w:sz w:val="22"/>
          <w:szCs w:val="22"/>
        </w:rPr>
        <w:footnoteReference w:customMarkFollows="1" w:id="39"/>
        <w:t> </w:t>
      </w:r>
    </w:p>
    <w:p w14:paraId="0C1050A2" w14:textId="77777777" w:rsidR="00DB0FDB" w:rsidRPr="00A42D23" w:rsidRDefault="00DB0FDB" w:rsidP="00AD295B">
      <w:pPr>
        <w:jc w:val="both"/>
        <w:rPr>
          <w:rFonts w:ascii="Calibri" w:hAnsi="Calibri" w:cs="Calibri"/>
        </w:rPr>
      </w:pPr>
    </w:p>
    <w:sectPr w:rsidR="00DB0FDB" w:rsidRPr="00A42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7426" w14:textId="77777777" w:rsidR="00FB4022" w:rsidRDefault="00FB4022" w:rsidP="002F3631">
      <w:pPr>
        <w:spacing w:after="0" w:line="240" w:lineRule="auto"/>
      </w:pPr>
      <w:r>
        <w:separator/>
      </w:r>
    </w:p>
  </w:endnote>
  <w:endnote w:type="continuationSeparator" w:id="0">
    <w:p w14:paraId="4C788D99" w14:textId="77777777" w:rsidR="00FB4022" w:rsidRDefault="00FB4022" w:rsidP="002F3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AF3AF" w14:textId="77777777" w:rsidR="00FB4022" w:rsidRDefault="00FB4022" w:rsidP="002F3631">
      <w:pPr>
        <w:spacing w:after="0" w:line="240" w:lineRule="auto"/>
      </w:pPr>
      <w:r>
        <w:separator/>
      </w:r>
    </w:p>
  </w:footnote>
  <w:footnote w:type="continuationSeparator" w:id="0">
    <w:p w14:paraId="72DA0AD9" w14:textId="77777777" w:rsidR="00FB4022" w:rsidRDefault="00FB4022" w:rsidP="002F3631">
      <w:pPr>
        <w:spacing w:after="0" w:line="240" w:lineRule="auto"/>
      </w:pPr>
      <w:r>
        <w:continuationSeparator/>
      </w:r>
    </w:p>
  </w:footnote>
  <w:footnote w:id="1">
    <w:p w14:paraId="0EC024C0" w14:textId="77777777" w:rsidR="002F3631" w:rsidRPr="00315E8A" w:rsidRDefault="002F3631" w:rsidP="002F3631">
      <w:pPr>
        <w:pStyle w:val="footnotes"/>
        <w:rPr>
          <w:lang w:val="en-ZA"/>
        </w:rPr>
      </w:pPr>
    </w:p>
  </w:footnote>
  <w:footnote w:id="2">
    <w:p w14:paraId="7C4EA174" w14:textId="77777777" w:rsidR="002F3631" w:rsidRPr="00315E8A" w:rsidRDefault="002F3631" w:rsidP="002F3631">
      <w:pPr>
        <w:pStyle w:val="footnotes"/>
        <w:rPr>
          <w:lang w:val="en-ZA"/>
        </w:rPr>
      </w:pPr>
    </w:p>
  </w:footnote>
  <w:footnote w:id="3">
    <w:p w14:paraId="6F94D8D2" w14:textId="77777777" w:rsidR="002F3631" w:rsidRPr="00315E8A" w:rsidRDefault="002F3631" w:rsidP="002F3631">
      <w:pPr>
        <w:pStyle w:val="footnotes"/>
        <w:rPr>
          <w:lang w:val="en-ZA"/>
        </w:rPr>
      </w:pPr>
      <w:r w:rsidRPr="00315E8A">
        <w:rPr>
          <w:lang w:val="en-ZA"/>
        </w:rPr>
        <w:tab/>
      </w:r>
    </w:p>
  </w:footnote>
  <w:footnote w:id="4">
    <w:p w14:paraId="3B55E48E" w14:textId="77777777" w:rsidR="002F3631" w:rsidRPr="00315E8A" w:rsidRDefault="002F3631" w:rsidP="002F3631">
      <w:pPr>
        <w:pStyle w:val="footnotes"/>
        <w:rPr>
          <w:lang w:val="en-ZA"/>
        </w:rPr>
      </w:pPr>
    </w:p>
  </w:footnote>
  <w:footnote w:id="5">
    <w:p w14:paraId="692DF68C" w14:textId="77777777" w:rsidR="002F3631" w:rsidRPr="00315E8A" w:rsidRDefault="002F3631" w:rsidP="002F3631">
      <w:pPr>
        <w:pStyle w:val="footnotes"/>
        <w:rPr>
          <w:lang w:val="en-ZA"/>
        </w:rPr>
      </w:pPr>
    </w:p>
  </w:footnote>
  <w:footnote w:id="6">
    <w:p w14:paraId="23584655" w14:textId="77777777" w:rsidR="002F3631" w:rsidRPr="00315E8A" w:rsidRDefault="002F3631" w:rsidP="002F3631">
      <w:pPr>
        <w:pStyle w:val="footnotes"/>
        <w:rPr>
          <w:lang w:val="en-ZA"/>
        </w:rPr>
      </w:pPr>
    </w:p>
  </w:footnote>
  <w:footnote w:id="7">
    <w:p w14:paraId="0C8EECD2" w14:textId="77777777" w:rsidR="002F3631" w:rsidRPr="00203487" w:rsidRDefault="002F3631" w:rsidP="002F3631">
      <w:pPr>
        <w:pStyle w:val="footnotes"/>
        <w:rPr>
          <w:lang w:val="en-ZA"/>
        </w:rPr>
      </w:pPr>
      <w:r w:rsidRPr="00315E8A">
        <w:rPr>
          <w:lang w:val="en-ZA"/>
        </w:rPr>
        <w:tab/>
      </w:r>
    </w:p>
  </w:footnote>
  <w:footnote w:id="8">
    <w:p w14:paraId="621FE1C5" w14:textId="77777777" w:rsidR="002F3631" w:rsidRPr="00315E8A" w:rsidRDefault="002F3631" w:rsidP="002F3631">
      <w:pPr>
        <w:pStyle w:val="footnotes"/>
        <w:rPr>
          <w:lang w:val="en-ZA"/>
        </w:rPr>
      </w:pPr>
    </w:p>
  </w:footnote>
  <w:footnote w:id="9">
    <w:p w14:paraId="7C252638" w14:textId="77777777" w:rsidR="002F3631" w:rsidRPr="00315E8A" w:rsidRDefault="002F3631" w:rsidP="002F3631">
      <w:pPr>
        <w:pStyle w:val="footnotes"/>
        <w:rPr>
          <w:lang w:val="en-ZA"/>
        </w:rPr>
      </w:pPr>
      <w:r w:rsidRPr="00315E8A">
        <w:rPr>
          <w:lang w:val="en-ZA"/>
        </w:rPr>
        <w:tab/>
      </w:r>
    </w:p>
  </w:footnote>
  <w:footnote w:id="10">
    <w:p w14:paraId="38382283" w14:textId="77777777" w:rsidR="002F3631" w:rsidRPr="00315E8A" w:rsidRDefault="002F3631" w:rsidP="002F3631">
      <w:pPr>
        <w:pStyle w:val="footnotes"/>
        <w:rPr>
          <w:lang w:val="en-ZA"/>
        </w:rPr>
      </w:pPr>
      <w:r w:rsidRPr="00315E8A">
        <w:rPr>
          <w:lang w:val="en-ZA"/>
        </w:rPr>
        <w:tab/>
      </w:r>
    </w:p>
  </w:footnote>
  <w:footnote w:id="11">
    <w:p w14:paraId="5C90D248" w14:textId="77777777" w:rsidR="002F3631" w:rsidRPr="00315E8A" w:rsidRDefault="002F3631" w:rsidP="002F3631">
      <w:pPr>
        <w:pStyle w:val="footnotes"/>
        <w:rPr>
          <w:lang w:val="en-ZA"/>
        </w:rPr>
      </w:pPr>
      <w:r w:rsidRPr="00315E8A">
        <w:rPr>
          <w:lang w:val="en-ZA"/>
        </w:rPr>
        <w:tab/>
      </w:r>
    </w:p>
  </w:footnote>
  <w:footnote w:id="12">
    <w:p w14:paraId="3ADFF411" w14:textId="77777777" w:rsidR="002F3631" w:rsidRPr="00315E8A" w:rsidRDefault="002F3631" w:rsidP="002F3631">
      <w:pPr>
        <w:pStyle w:val="footnotes"/>
        <w:rPr>
          <w:lang w:val="en-ZA"/>
        </w:rPr>
      </w:pPr>
      <w:r w:rsidRPr="00315E8A">
        <w:rPr>
          <w:lang w:val="en-ZA"/>
        </w:rPr>
        <w:tab/>
      </w:r>
    </w:p>
  </w:footnote>
  <w:footnote w:id="13">
    <w:p w14:paraId="3CA2F6D5" w14:textId="77777777" w:rsidR="002F3631" w:rsidRPr="00315E8A" w:rsidRDefault="002F3631" w:rsidP="002F3631">
      <w:pPr>
        <w:pStyle w:val="footnotes"/>
        <w:rPr>
          <w:lang w:val="en-ZA"/>
        </w:rPr>
      </w:pPr>
      <w:r w:rsidRPr="00315E8A">
        <w:rPr>
          <w:lang w:val="en-ZA"/>
        </w:rPr>
        <w:tab/>
      </w:r>
    </w:p>
  </w:footnote>
  <w:footnote w:id="14">
    <w:p w14:paraId="52E42E3B" w14:textId="77777777" w:rsidR="002F3631" w:rsidRPr="00315E8A" w:rsidRDefault="002F3631" w:rsidP="002F3631">
      <w:pPr>
        <w:pStyle w:val="footnotes"/>
        <w:rPr>
          <w:lang w:val="en-ZA"/>
        </w:rPr>
      </w:pPr>
      <w:r w:rsidRPr="00315E8A">
        <w:rPr>
          <w:lang w:val="en-ZA"/>
        </w:rPr>
        <w:tab/>
      </w:r>
    </w:p>
  </w:footnote>
  <w:footnote w:id="15">
    <w:p w14:paraId="16CE7A02" w14:textId="77777777" w:rsidR="002F3631" w:rsidRPr="00315E8A" w:rsidRDefault="002F3631" w:rsidP="002F3631">
      <w:pPr>
        <w:pStyle w:val="footnotes"/>
        <w:rPr>
          <w:lang w:val="en-ZA"/>
        </w:rPr>
      </w:pPr>
      <w:r w:rsidRPr="00315E8A">
        <w:rPr>
          <w:lang w:val="en-ZA"/>
        </w:rPr>
        <w:tab/>
      </w:r>
    </w:p>
  </w:footnote>
  <w:footnote w:id="16">
    <w:p w14:paraId="0A2B59C6" w14:textId="77777777" w:rsidR="002F3631" w:rsidRPr="00315E8A" w:rsidRDefault="002F3631" w:rsidP="002F3631">
      <w:pPr>
        <w:pStyle w:val="footnotes"/>
        <w:rPr>
          <w:lang w:val="en-ZA"/>
        </w:rPr>
      </w:pPr>
      <w:r w:rsidRPr="00315E8A">
        <w:rPr>
          <w:lang w:val="en-ZA"/>
        </w:rPr>
        <w:tab/>
      </w:r>
    </w:p>
  </w:footnote>
  <w:footnote w:id="17">
    <w:p w14:paraId="3C1FB980" w14:textId="77777777" w:rsidR="002F3631" w:rsidRPr="00315E8A" w:rsidRDefault="002F3631" w:rsidP="002F3631">
      <w:pPr>
        <w:pStyle w:val="footnotes"/>
        <w:rPr>
          <w:lang w:val="en-ZA"/>
        </w:rPr>
      </w:pPr>
      <w:r w:rsidRPr="00315E8A">
        <w:rPr>
          <w:lang w:val="en-ZA"/>
        </w:rPr>
        <w:tab/>
      </w:r>
    </w:p>
  </w:footnote>
  <w:footnote w:id="18">
    <w:p w14:paraId="281C42A9" w14:textId="77777777" w:rsidR="002F3631" w:rsidRPr="00315E8A" w:rsidRDefault="002F3631" w:rsidP="002F3631">
      <w:pPr>
        <w:pStyle w:val="footnotes"/>
        <w:rPr>
          <w:lang w:val="en-ZA"/>
        </w:rPr>
      </w:pPr>
    </w:p>
  </w:footnote>
  <w:footnote w:id="19">
    <w:p w14:paraId="5F361B18" w14:textId="77777777" w:rsidR="002F3631" w:rsidRPr="00315E8A" w:rsidRDefault="002F3631" w:rsidP="002F3631">
      <w:pPr>
        <w:pStyle w:val="footnotes"/>
        <w:rPr>
          <w:lang w:val="en-ZA"/>
        </w:rPr>
      </w:pPr>
    </w:p>
  </w:footnote>
  <w:footnote w:id="20">
    <w:p w14:paraId="39BA4F6C" w14:textId="77777777" w:rsidR="002F3631" w:rsidRPr="00315E8A" w:rsidRDefault="002F3631" w:rsidP="002F3631">
      <w:pPr>
        <w:pStyle w:val="footnotes"/>
        <w:rPr>
          <w:lang w:val="en-ZA"/>
        </w:rPr>
      </w:pPr>
      <w:r w:rsidRPr="00315E8A">
        <w:rPr>
          <w:lang w:val="en-ZA"/>
        </w:rPr>
        <w:tab/>
      </w:r>
    </w:p>
  </w:footnote>
  <w:footnote w:id="21">
    <w:p w14:paraId="3B85A4B2" w14:textId="77777777" w:rsidR="002F3631" w:rsidRPr="00315E8A" w:rsidRDefault="002F3631" w:rsidP="002F3631">
      <w:pPr>
        <w:pStyle w:val="footnotes"/>
        <w:rPr>
          <w:lang w:val="en-ZA"/>
        </w:rPr>
      </w:pPr>
      <w:r w:rsidRPr="00315E8A">
        <w:rPr>
          <w:lang w:val="en-ZA"/>
        </w:rPr>
        <w:tab/>
      </w:r>
    </w:p>
  </w:footnote>
  <w:footnote w:id="22">
    <w:p w14:paraId="110C1EED" w14:textId="77777777" w:rsidR="002F3631" w:rsidRPr="00315E8A" w:rsidRDefault="002F3631" w:rsidP="002F3631">
      <w:pPr>
        <w:pStyle w:val="footnotes"/>
        <w:rPr>
          <w:lang w:val="en-ZA"/>
        </w:rPr>
      </w:pPr>
    </w:p>
  </w:footnote>
  <w:footnote w:id="23">
    <w:p w14:paraId="190B30E8" w14:textId="77777777" w:rsidR="002F3631" w:rsidRPr="00315E8A" w:rsidRDefault="002F3631" w:rsidP="002F3631">
      <w:pPr>
        <w:pStyle w:val="footnotes"/>
        <w:rPr>
          <w:lang w:val="en-ZA"/>
        </w:rPr>
      </w:pPr>
    </w:p>
  </w:footnote>
  <w:footnote w:id="24">
    <w:p w14:paraId="5D6000B5" w14:textId="77777777" w:rsidR="002F3631" w:rsidRPr="00315E8A" w:rsidRDefault="002F3631" w:rsidP="002F3631">
      <w:pPr>
        <w:pStyle w:val="footnotes"/>
        <w:rPr>
          <w:lang w:val="en-ZA"/>
        </w:rPr>
      </w:pPr>
      <w:bookmarkStart w:id="0" w:name="_DV_C214"/>
      <w:r w:rsidRPr="00315E8A">
        <w:rPr>
          <w:lang w:val="en-ZA"/>
        </w:rPr>
        <w:tab/>
      </w:r>
      <w:bookmarkEnd w:id="0"/>
    </w:p>
  </w:footnote>
  <w:footnote w:id="25">
    <w:p w14:paraId="19917BCA" w14:textId="77777777" w:rsidR="002F3631" w:rsidRPr="00315E8A" w:rsidRDefault="002F3631" w:rsidP="002F3631">
      <w:pPr>
        <w:pStyle w:val="footnotes"/>
        <w:rPr>
          <w:lang w:val="en-ZA"/>
        </w:rPr>
      </w:pPr>
    </w:p>
  </w:footnote>
  <w:footnote w:id="26">
    <w:p w14:paraId="7D46A5E8" w14:textId="77777777" w:rsidR="002F3631" w:rsidRPr="00315E8A" w:rsidRDefault="002F3631" w:rsidP="002F3631">
      <w:pPr>
        <w:pStyle w:val="footnotes"/>
        <w:rPr>
          <w:lang w:val="en-ZA"/>
        </w:rPr>
      </w:pPr>
    </w:p>
  </w:footnote>
  <w:footnote w:id="27">
    <w:p w14:paraId="1A57B7F5" w14:textId="77777777" w:rsidR="002F3631" w:rsidRPr="00315E8A" w:rsidRDefault="002F3631" w:rsidP="002F3631">
      <w:pPr>
        <w:pStyle w:val="footnotes"/>
        <w:rPr>
          <w:lang w:val="en-ZA"/>
        </w:rPr>
      </w:pPr>
      <w:r w:rsidRPr="00315E8A">
        <w:rPr>
          <w:lang w:val="en-ZA"/>
        </w:rPr>
        <w:tab/>
      </w:r>
    </w:p>
  </w:footnote>
  <w:footnote w:id="28">
    <w:p w14:paraId="32390374" w14:textId="77777777" w:rsidR="002F3631" w:rsidRPr="00315E8A" w:rsidRDefault="002F3631" w:rsidP="002F3631">
      <w:pPr>
        <w:pStyle w:val="footnotes"/>
        <w:rPr>
          <w:lang w:val="en-ZA"/>
        </w:rPr>
      </w:pPr>
      <w:r w:rsidRPr="00315E8A">
        <w:rPr>
          <w:lang w:val="en-ZA"/>
        </w:rPr>
        <w:tab/>
        <w:t xml:space="preserve"> </w:t>
      </w:r>
    </w:p>
  </w:footnote>
  <w:footnote w:id="29">
    <w:p w14:paraId="50463DA0" w14:textId="77777777" w:rsidR="002F3631" w:rsidRPr="00315E8A" w:rsidRDefault="002F3631" w:rsidP="002F3631">
      <w:pPr>
        <w:pStyle w:val="footnotes"/>
        <w:rPr>
          <w:lang w:val="en-ZA"/>
        </w:rPr>
      </w:pPr>
      <w:r w:rsidRPr="00315E8A">
        <w:rPr>
          <w:lang w:val="en-ZA"/>
        </w:rPr>
        <w:tab/>
      </w:r>
    </w:p>
  </w:footnote>
  <w:footnote w:id="30">
    <w:p w14:paraId="31B6FDB7" w14:textId="77777777" w:rsidR="002F3631" w:rsidRPr="00315E8A" w:rsidRDefault="002F3631" w:rsidP="002F3631">
      <w:pPr>
        <w:pStyle w:val="footnotes"/>
        <w:rPr>
          <w:lang w:val="en-ZA"/>
        </w:rPr>
      </w:pPr>
      <w:r w:rsidRPr="00315E8A">
        <w:rPr>
          <w:lang w:val="en-ZA"/>
        </w:rPr>
        <w:tab/>
      </w:r>
    </w:p>
  </w:footnote>
  <w:footnote w:id="31">
    <w:p w14:paraId="5430201C" w14:textId="77777777" w:rsidR="002F3631" w:rsidRPr="00315E8A" w:rsidRDefault="002F3631" w:rsidP="002F3631">
      <w:pPr>
        <w:pStyle w:val="footnotes"/>
        <w:rPr>
          <w:lang w:val="en-ZA"/>
        </w:rPr>
      </w:pPr>
      <w:r w:rsidRPr="00315E8A">
        <w:rPr>
          <w:lang w:val="en-ZA"/>
        </w:rPr>
        <w:tab/>
      </w:r>
    </w:p>
  </w:footnote>
  <w:footnote w:id="32">
    <w:p w14:paraId="554CA8B7" w14:textId="77777777" w:rsidR="002F3631" w:rsidRPr="00315E8A" w:rsidRDefault="002F3631" w:rsidP="002F3631">
      <w:pPr>
        <w:pStyle w:val="footnotes"/>
        <w:rPr>
          <w:lang w:val="en-ZA"/>
        </w:rPr>
      </w:pPr>
      <w:r w:rsidRPr="00315E8A">
        <w:rPr>
          <w:lang w:val="en-ZA"/>
        </w:rPr>
        <w:tab/>
      </w:r>
    </w:p>
  </w:footnote>
  <w:footnote w:id="33">
    <w:p w14:paraId="78F14673" w14:textId="77777777" w:rsidR="002F3631" w:rsidRPr="00315E8A" w:rsidRDefault="002F3631" w:rsidP="002F3631">
      <w:pPr>
        <w:pStyle w:val="footnotes"/>
        <w:rPr>
          <w:lang w:val="en-ZA"/>
        </w:rPr>
      </w:pPr>
      <w:r w:rsidRPr="00315E8A">
        <w:rPr>
          <w:lang w:val="en-ZA"/>
        </w:rPr>
        <w:tab/>
      </w:r>
    </w:p>
  </w:footnote>
  <w:footnote w:id="34">
    <w:p w14:paraId="5B289F0A" w14:textId="77777777" w:rsidR="002F3631" w:rsidRPr="00203487" w:rsidRDefault="002F3631" w:rsidP="002F3631">
      <w:pPr>
        <w:pStyle w:val="footnotes"/>
        <w:rPr>
          <w:lang w:val="en-ZA"/>
        </w:rPr>
      </w:pPr>
    </w:p>
  </w:footnote>
  <w:footnote w:id="35">
    <w:p w14:paraId="406A26D0" w14:textId="77777777" w:rsidR="002F3631" w:rsidRPr="00203487" w:rsidRDefault="002F3631" w:rsidP="002F3631">
      <w:pPr>
        <w:pStyle w:val="footnotes"/>
        <w:rPr>
          <w:lang w:val="en-ZA"/>
        </w:rPr>
      </w:pPr>
    </w:p>
  </w:footnote>
  <w:footnote w:id="36">
    <w:p w14:paraId="435FCDC8" w14:textId="77777777" w:rsidR="002F3631" w:rsidRPr="00315E8A" w:rsidRDefault="002F3631" w:rsidP="002F3631">
      <w:pPr>
        <w:pStyle w:val="footnotes"/>
        <w:rPr>
          <w:lang w:val="en-ZA"/>
        </w:rPr>
      </w:pPr>
      <w:r w:rsidRPr="00315E8A">
        <w:rPr>
          <w:lang w:val="en-ZA"/>
        </w:rPr>
        <w:tab/>
      </w:r>
    </w:p>
  </w:footnote>
  <w:footnote w:id="37">
    <w:p w14:paraId="4D6651CA" w14:textId="77777777" w:rsidR="002F3631" w:rsidRPr="00315E8A" w:rsidRDefault="002F3631" w:rsidP="002F3631">
      <w:pPr>
        <w:pStyle w:val="footnotes"/>
        <w:rPr>
          <w:lang w:val="en-ZA"/>
        </w:rPr>
      </w:pPr>
      <w:r w:rsidRPr="00315E8A">
        <w:rPr>
          <w:lang w:val="en-ZA"/>
        </w:rPr>
        <w:tab/>
      </w:r>
    </w:p>
  </w:footnote>
  <w:footnote w:id="38">
    <w:p w14:paraId="695C8DF1" w14:textId="77777777" w:rsidR="002F3631" w:rsidRPr="00315E8A" w:rsidRDefault="002F3631" w:rsidP="002F3631">
      <w:pPr>
        <w:pStyle w:val="footnotes"/>
        <w:rPr>
          <w:lang w:val="en-ZA"/>
        </w:rPr>
      </w:pPr>
      <w:r w:rsidRPr="00315E8A">
        <w:rPr>
          <w:lang w:val="en-ZA"/>
        </w:rPr>
        <w:tab/>
      </w:r>
    </w:p>
  </w:footnote>
  <w:footnote w:id="39">
    <w:p w14:paraId="1EBE5568" w14:textId="77777777" w:rsidR="002F3631" w:rsidRPr="00315E8A" w:rsidRDefault="002F3631" w:rsidP="002F3631">
      <w:pPr>
        <w:pStyle w:val="footnotes"/>
        <w:rPr>
          <w:lang w:val="en-ZA"/>
        </w:rPr>
      </w:pPr>
      <w:r w:rsidRPr="00315E8A">
        <w:rPr>
          <w:lang w:val="en-ZA"/>
        </w:rPr>
        <w:tab/>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31"/>
    <w:rsid w:val="00037EA9"/>
    <w:rsid w:val="00063375"/>
    <w:rsid w:val="0007031D"/>
    <w:rsid w:val="00077A0D"/>
    <w:rsid w:val="00092466"/>
    <w:rsid w:val="000A0163"/>
    <w:rsid w:val="000A575E"/>
    <w:rsid w:val="000C717A"/>
    <w:rsid w:val="000D5551"/>
    <w:rsid w:val="000F38ED"/>
    <w:rsid w:val="001425A0"/>
    <w:rsid w:val="00166526"/>
    <w:rsid w:val="00170F61"/>
    <w:rsid w:val="001B4778"/>
    <w:rsid w:val="001C3232"/>
    <w:rsid w:val="001C46E5"/>
    <w:rsid w:val="001D0559"/>
    <w:rsid w:val="001F316A"/>
    <w:rsid w:val="002870AD"/>
    <w:rsid w:val="00294A68"/>
    <w:rsid w:val="002A1509"/>
    <w:rsid w:val="002F3631"/>
    <w:rsid w:val="003306CB"/>
    <w:rsid w:val="00352F5F"/>
    <w:rsid w:val="00356D0C"/>
    <w:rsid w:val="003C3221"/>
    <w:rsid w:val="00410162"/>
    <w:rsid w:val="00420C50"/>
    <w:rsid w:val="004355D4"/>
    <w:rsid w:val="00443AE7"/>
    <w:rsid w:val="004B58A4"/>
    <w:rsid w:val="004B615E"/>
    <w:rsid w:val="004B7861"/>
    <w:rsid w:val="004C11F4"/>
    <w:rsid w:val="0051546D"/>
    <w:rsid w:val="005168F9"/>
    <w:rsid w:val="0052739B"/>
    <w:rsid w:val="005832E9"/>
    <w:rsid w:val="005B74DC"/>
    <w:rsid w:val="005D26C8"/>
    <w:rsid w:val="0060792D"/>
    <w:rsid w:val="006621D9"/>
    <w:rsid w:val="00664B39"/>
    <w:rsid w:val="006B098A"/>
    <w:rsid w:val="006E74F3"/>
    <w:rsid w:val="006E7765"/>
    <w:rsid w:val="0070506B"/>
    <w:rsid w:val="00736F10"/>
    <w:rsid w:val="007553B0"/>
    <w:rsid w:val="00766624"/>
    <w:rsid w:val="00766C48"/>
    <w:rsid w:val="00771755"/>
    <w:rsid w:val="00775948"/>
    <w:rsid w:val="0078550A"/>
    <w:rsid w:val="00791953"/>
    <w:rsid w:val="007B15D5"/>
    <w:rsid w:val="007B5B0F"/>
    <w:rsid w:val="00831290"/>
    <w:rsid w:val="0086573C"/>
    <w:rsid w:val="008671A4"/>
    <w:rsid w:val="008675D7"/>
    <w:rsid w:val="00867E23"/>
    <w:rsid w:val="00867EF9"/>
    <w:rsid w:val="0087760F"/>
    <w:rsid w:val="00882CB2"/>
    <w:rsid w:val="00886D38"/>
    <w:rsid w:val="008E33D2"/>
    <w:rsid w:val="008E3DFA"/>
    <w:rsid w:val="008F3AF9"/>
    <w:rsid w:val="00953E48"/>
    <w:rsid w:val="009645DD"/>
    <w:rsid w:val="009A4BF6"/>
    <w:rsid w:val="009C5AFB"/>
    <w:rsid w:val="009F2340"/>
    <w:rsid w:val="00A310B4"/>
    <w:rsid w:val="00A42D23"/>
    <w:rsid w:val="00A742B7"/>
    <w:rsid w:val="00AA61D4"/>
    <w:rsid w:val="00AD295B"/>
    <w:rsid w:val="00B44564"/>
    <w:rsid w:val="00B61896"/>
    <w:rsid w:val="00BA5944"/>
    <w:rsid w:val="00BB2B05"/>
    <w:rsid w:val="00BB4F64"/>
    <w:rsid w:val="00BE0489"/>
    <w:rsid w:val="00BF62FA"/>
    <w:rsid w:val="00C275C5"/>
    <w:rsid w:val="00C51791"/>
    <w:rsid w:val="00CA6B46"/>
    <w:rsid w:val="00CB7EF1"/>
    <w:rsid w:val="00CD0185"/>
    <w:rsid w:val="00D1204F"/>
    <w:rsid w:val="00D30442"/>
    <w:rsid w:val="00D6505E"/>
    <w:rsid w:val="00D764A2"/>
    <w:rsid w:val="00DA31A7"/>
    <w:rsid w:val="00DB0FDB"/>
    <w:rsid w:val="00DC069A"/>
    <w:rsid w:val="00DE2A9B"/>
    <w:rsid w:val="00DF7973"/>
    <w:rsid w:val="00E04A9A"/>
    <w:rsid w:val="00E117DC"/>
    <w:rsid w:val="00E22A5A"/>
    <w:rsid w:val="00E30981"/>
    <w:rsid w:val="00E52C4A"/>
    <w:rsid w:val="00EC0355"/>
    <w:rsid w:val="00EF5ACD"/>
    <w:rsid w:val="00F00465"/>
    <w:rsid w:val="00F228EA"/>
    <w:rsid w:val="00F37664"/>
    <w:rsid w:val="00F77836"/>
    <w:rsid w:val="00FB25CE"/>
    <w:rsid w:val="00FB2B11"/>
    <w:rsid w:val="00FB40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7046"/>
  <w15:chartTrackingRefBased/>
  <w15:docId w15:val="{555C9270-C2BC-4F76-B9B8-E46046F0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631"/>
  </w:style>
  <w:style w:type="paragraph" w:styleId="Heading1">
    <w:name w:val="heading 1"/>
    <w:basedOn w:val="Normal"/>
    <w:next w:val="Normal"/>
    <w:link w:val="Heading1Char"/>
    <w:uiPriority w:val="9"/>
    <w:qFormat/>
    <w:rsid w:val="002F36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6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6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6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6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6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6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6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6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6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6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6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6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6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631"/>
    <w:rPr>
      <w:rFonts w:eastAsiaTheme="majorEastAsia" w:cstheme="majorBidi"/>
      <w:color w:val="272727" w:themeColor="text1" w:themeTint="D8"/>
    </w:rPr>
  </w:style>
  <w:style w:type="paragraph" w:styleId="Title">
    <w:name w:val="Title"/>
    <w:basedOn w:val="Normal"/>
    <w:next w:val="Normal"/>
    <w:link w:val="TitleChar"/>
    <w:uiPriority w:val="10"/>
    <w:qFormat/>
    <w:rsid w:val="002F3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6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6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6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631"/>
    <w:pPr>
      <w:spacing w:before="160"/>
      <w:jc w:val="center"/>
    </w:pPr>
    <w:rPr>
      <w:i/>
      <w:iCs/>
      <w:color w:val="404040" w:themeColor="text1" w:themeTint="BF"/>
    </w:rPr>
  </w:style>
  <w:style w:type="character" w:customStyle="1" w:styleId="QuoteChar">
    <w:name w:val="Quote Char"/>
    <w:basedOn w:val="DefaultParagraphFont"/>
    <w:link w:val="Quote"/>
    <w:uiPriority w:val="29"/>
    <w:rsid w:val="002F3631"/>
    <w:rPr>
      <w:i/>
      <w:iCs/>
      <w:color w:val="404040" w:themeColor="text1" w:themeTint="BF"/>
    </w:rPr>
  </w:style>
  <w:style w:type="paragraph" w:styleId="ListParagraph">
    <w:name w:val="List Paragraph"/>
    <w:basedOn w:val="Normal"/>
    <w:uiPriority w:val="34"/>
    <w:qFormat/>
    <w:rsid w:val="002F3631"/>
    <w:pPr>
      <w:ind w:left="720"/>
      <w:contextualSpacing/>
    </w:pPr>
  </w:style>
  <w:style w:type="character" w:styleId="IntenseEmphasis">
    <w:name w:val="Intense Emphasis"/>
    <w:basedOn w:val="DefaultParagraphFont"/>
    <w:uiPriority w:val="21"/>
    <w:qFormat/>
    <w:rsid w:val="002F3631"/>
    <w:rPr>
      <w:i/>
      <w:iCs/>
      <w:color w:val="0F4761" w:themeColor="accent1" w:themeShade="BF"/>
    </w:rPr>
  </w:style>
  <w:style w:type="paragraph" w:styleId="IntenseQuote">
    <w:name w:val="Intense Quote"/>
    <w:basedOn w:val="Normal"/>
    <w:next w:val="Normal"/>
    <w:link w:val="IntenseQuoteChar"/>
    <w:uiPriority w:val="30"/>
    <w:qFormat/>
    <w:rsid w:val="002F3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631"/>
    <w:rPr>
      <w:i/>
      <w:iCs/>
      <w:color w:val="0F4761" w:themeColor="accent1" w:themeShade="BF"/>
    </w:rPr>
  </w:style>
  <w:style w:type="character" w:styleId="IntenseReference">
    <w:name w:val="Intense Reference"/>
    <w:basedOn w:val="DefaultParagraphFont"/>
    <w:uiPriority w:val="32"/>
    <w:qFormat/>
    <w:rsid w:val="002F3631"/>
    <w:rPr>
      <w:b/>
      <w:bCs/>
      <w:smallCaps/>
      <w:color w:val="0F4761" w:themeColor="accent1" w:themeShade="BF"/>
      <w:spacing w:val="5"/>
    </w:rPr>
  </w:style>
  <w:style w:type="table" w:styleId="TableGrid">
    <w:name w:val="Table Grid"/>
    <w:basedOn w:val="TableNormal"/>
    <w:uiPriority w:val="39"/>
    <w:rsid w:val="002F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2"/>
    <w:basedOn w:val="Normal"/>
    <w:rsid w:val="002F3631"/>
    <w:pPr>
      <w:widowControl w:val="0"/>
      <w:spacing w:before="300" w:after="0" w:line="240" w:lineRule="auto"/>
    </w:pPr>
    <w:rPr>
      <w:rFonts w:ascii="Verdana" w:eastAsia="Times New Roman" w:hAnsi="Verdana" w:cs="Times New Roman"/>
      <w:b/>
      <w:kern w:val="0"/>
      <w:sz w:val="18"/>
      <w:szCs w:val="20"/>
      <w:lang w:val="en-GB"/>
    </w:rPr>
  </w:style>
  <w:style w:type="paragraph" w:customStyle="1" w:styleId="000">
    <w:name w:val="0.00"/>
    <w:basedOn w:val="Normal"/>
    <w:rsid w:val="002F3631"/>
    <w:pPr>
      <w:widowControl w:val="0"/>
      <w:tabs>
        <w:tab w:val="left" w:pos="794"/>
      </w:tabs>
      <w:spacing w:before="180" w:after="0" w:line="240" w:lineRule="auto"/>
      <w:ind w:left="794" w:hanging="794"/>
      <w:jc w:val="both"/>
    </w:pPr>
    <w:rPr>
      <w:rFonts w:ascii="Verdana" w:eastAsia="Times New Roman" w:hAnsi="Verdana" w:cs="Times New Roman"/>
      <w:kern w:val="0"/>
      <w:sz w:val="18"/>
      <w:szCs w:val="20"/>
      <w:lang w:val="en-GB"/>
    </w:rPr>
  </w:style>
  <w:style w:type="paragraph" w:customStyle="1" w:styleId="footnotes">
    <w:name w:val="footnotes"/>
    <w:basedOn w:val="Normal"/>
    <w:rsid w:val="002F3631"/>
    <w:pPr>
      <w:tabs>
        <w:tab w:val="left" w:pos="340"/>
      </w:tabs>
      <w:spacing w:after="0" w:line="240" w:lineRule="auto"/>
      <w:ind w:left="340" w:hanging="340"/>
      <w:jc w:val="both"/>
    </w:pPr>
    <w:rPr>
      <w:rFonts w:ascii="Verdana" w:eastAsia="Times New Roman" w:hAnsi="Verdana" w:cs="Times New Roman"/>
      <w:kern w:val="0"/>
      <w:sz w:val="16"/>
      <w:szCs w:val="20"/>
      <w:lang w:val="en-GB"/>
    </w:rPr>
  </w:style>
  <w:style w:type="character" w:styleId="FootnoteReference">
    <w:name w:val="footnote reference"/>
    <w:semiHidden/>
    <w:rsid w:val="002F3631"/>
    <w:rPr>
      <w:vertAlign w:val="superscript"/>
    </w:rPr>
  </w:style>
  <w:style w:type="paragraph" w:customStyle="1" w:styleId="0000">
    <w:name w:val="00.00"/>
    <w:basedOn w:val="Normal"/>
    <w:rsid w:val="002F3631"/>
    <w:pPr>
      <w:widowControl w:val="0"/>
      <w:tabs>
        <w:tab w:val="left" w:pos="794"/>
      </w:tabs>
      <w:spacing w:before="180" w:after="0" w:line="240" w:lineRule="auto"/>
      <w:ind w:left="794" w:hanging="794"/>
      <w:jc w:val="both"/>
    </w:pPr>
    <w:rPr>
      <w:rFonts w:ascii="Verdana" w:eastAsia="Times New Roman" w:hAnsi="Verdana" w:cs="Times New Roman"/>
      <w:kern w:val="0"/>
      <w:sz w:val="18"/>
      <w:szCs w:val="20"/>
      <w:lang w:val="en-GB"/>
    </w:rPr>
  </w:style>
  <w:style w:type="paragraph" w:customStyle="1" w:styleId="a-0000">
    <w:name w:val="(a)-00.00"/>
    <w:basedOn w:val="Normal"/>
    <w:rsid w:val="002F3631"/>
    <w:pPr>
      <w:widowControl w:val="0"/>
      <w:tabs>
        <w:tab w:val="left" w:pos="794"/>
        <w:tab w:val="left" w:pos="1304"/>
      </w:tabs>
      <w:spacing w:before="180" w:after="0" w:line="240" w:lineRule="auto"/>
      <w:ind w:left="1304" w:hanging="1304"/>
      <w:jc w:val="both"/>
    </w:pPr>
    <w:rPr>
      <w:rFonts w:ascii="Verdana" w:eastAsia="Times New Roman" w:hAnsi="Verdana" w:cs="Times New Roman"/>
      <w:kern w:val="0"/>
      <w:sz w:val="18"/>
      <w:szCs w:val="20"/>
      <w:lang w:val="en-GB"/>
    </w:rPr>
  </w:style>
  <w:style w:type="character" w:styleId="Hyperlink">
    <w:name w:val="Hyperlink"/>
    <w:semiHidden/>
    <w:rsid w:val="002F3631"/>
    <w:rPr>
      <w:color w:val="0000FF"/>
      <w:u w:val="single"/>
    </w:rPr>
  </w:style>
  <w:style w:type="paragraph" w:customStyle="1" w:styleId="i-0000a">
    <w:name w:val="(i)-00.00(a)"/>
    <w:basedOn w:val="Normal"/>
    <w:rsid w:val="002F3631"/>
    <w:pPr>
      <w:widowControl w:val="0"/>
      <w:tabs>
        <w:tab w:val="right" w:pos="1701"/>
        <w:tab w:val="left" w:pos="1814"/>
      </w:tabs>
      <w:spacing w:before="180" w:after="0" w:line="240" w:lineRule="auto"/>
      <w:ind w:left="1814" w:hanging="1814"/>
      <w:jc w:val="both"/>
    </w:pPr>
    <w:rPr>
      <w:rFonts w:ascii="Verdana" w:eastAsia="Times New Roman" w:hAnsi="Verdana" w:cs="Times New Roman"/>
      <w:kern w:val="0"/>
      <w:sz w:val="18"/>
      <w:szCs w:val="20"/>
      <w:lang w:val="en-GB"/>
    </w:rPr>
  </w:style>
  <w:style w:type="paragraph" w:customStyle="1" w:styleId="000ai1aa">
    <w:name w:val="0.00(a)(i)(1)(aa)"/>
    <w:basedOn w:val="Normal"/>
    <w:rsid w:val="002F3631"/>
    <w:pPr>
      <w:tabs>
        <w:tab w:val="left" w:pos="2438"/>
        <w:tab w:val="left" w:pos="3005"/>
      </w:tabs>
      <w:spacing w:before="180" w:after="0" w:line="240" w:lineRule="auto"/>
      <w:ind w:left="3005" w:hanging="3005"/>
      <w:jc w:val="both"/>
    </w:pPr>
    <w:rPr>
      <w:rFonts w:ascii="Verdana" w:eastAsia="Times New Roman" w:hAnsi="Verdana" w:cs="Times New Roman"/>
      <w:kern w:val="0"/>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se.co.z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1674</Words>
  <Characters>9048</Characters>
  <Application>Microsoft Office Word</Application>
  <DocSecurity>0</DocSecurity>
  <Lines>163</Lines>
  <Paragraphs>73</Paragraphs>
  <ScaleCrop>false</ScaleCrop>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Fouchee</dc:creator>
  <cp:keywords/>
  <dc:description/>
  <cp:lastModifiedBy>Alwyn Fouchee</cp:lastModifiedBy>
  <cp:revision>30</cp:revision>
  <dcterms:created xsi:type="dcterms:W3CDTF">2024-07-19T09:33:00Z</dcterms:created>
  <dcterms:modified xsi:type="dcterms:W3CDTF">2026-01-10T08:08:00Z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93fc94-2a04-4870-acee-9c0cd4b7d590_Enabled">
    <vt:lpwstr>true</vt:lpwstr>
  </property>
  <property fmtid="{D5CDD505-2E9C-101B-9397-08002B2CF9AE}" pid="3" name="MSIP_Label_ce93fc94-2a04-4870-acee-9c0cd4b7d590_SetDate">
    <vt:lpwstr>2024-07-19T09:34:26Z</vt:lpwstr>
  </property>
  <property fmtid="{D5CDD505-2E9C-101B-9397-08002B2CF9AE}" pid="4" name="MSIP_Label_ce93fc94-2a04-4870-acee-9c0cd4b7d590_Method">
    <vt:lpwstr>Standard</vt:lpwstr>
  </property>
  <property fmtid="{D5CDD505-2E9C-101B-9397-08002B2CF9AE}" pid="5" name="MSIP_Label_ce93fc94-2a04-4870-acee-9c0cd4b7d590_Name">
    <vt:lpwstr>Internal</vt:lpwstr>
  </property>
  <property fmtid="{D5CDD505-2E9C-101B-9397-08002B2CF9AE}" pid="6" name="MSIP_Label_ce93fc94-2a04-4870-acee-9c0cd4b7d590_SiteId">
    <vt:lpwstr>cffa6640-7572-4f05-9c64-cd88068c19d4</vt:lpwstr>
  </property>
  <property fmtid="{D5CDD505-2E9C-101B-9397-08002B2CF9AE}" pid="7" name="MSIP_Label_ce93fc94-2a04-4870-acee-9c0cd4b7d590_ActionId">
    <vt:lpwstr>d172c9e4-625d-442b-95da-6435060bf672</vt:lpwstr>
  </property>
  <property fmtid="{D5CDD505-2E9C-101B-9397-08002B2CF9AE}" pid="8" name="MSIP_Label_ce93fc94-2a04-4870-acee-9c0cd4b7d590_ContentBits">
    <vt:lpwstr>0</vt:lpwstr>
  </property>
</Properties>
</file>