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8AEA" w14:textId="77777777" w:rsidR="00200D73" w:rsidRPr="00611375" w:rsidRDefault="00BA01DB" w:rsidP="00BA01DB">
      <w:pPr>
        <w:pStyle w:val="head1"/>
        <w:spacing w:before="480"/>
        <w:jc w:val="center"/>
        <w:rPr>
          <w:rFonts w:ascii="Calibri" w:hAnsi="Calibri" w:cs="Calibri"/>
          <w:sz w:val="22"/>
          <w:szCs w:val="22"/>
        </w:rPr>
      </w:pPr>
      <w:r w:rsidRPr="00611375">
        <w:rPr>
          <w:rFonts w:ascii="Calibri" w:hAnsi="Calibri" w:cs="Calibri"/>
          <w:b w:val="0"/>
          <w:sz w:val="22"/>
          <w:szCs w:val="22"/>
        </w:rPr>
        <w:br/>
      </w:r>
    </w:p>
    <w:tbl>
      <w:tblPr>
        <w:tblStyle w:val="TableGrid"/>
        <w:tblW w:w="0" w:type="auto"/>
        <w:tblLook w:val="04A0" w:firstRow="1" w:lastRow="0" w:firstColumn="1" w:lastColumn="0" w:noHBand="0" w:noVBand="1"/>
      </w:tblPr>
      <w:tblGrid>
        <w:gridCol w:w="9016"/>
      </w:tblGrid>
      <w:tr w:rsidR="00200D73" w:rsidRPr="00611375" w14:paraId="1B13E9B5" w14:textId="77777777" w:rsidTr="00611375">
        <w:tc>
          <w:tcPr>
            <w:tcW w:w="9016" w:type="dxa"/>
            <w:shd w:val="clear" w:color="auto" w:fill="92D050"/>
          </w:tcPr>
          <w:p w14:paraId="64F01A63" w14:textId="54986938" w:rsidR="00200D73" w:rsidRDefault="00200D73" w:rsidP="00611375">
            <w:pPr>
              <w:widowControl/>
              <w:spacing w:before="0"/>
              <w:jc w:val="left"/>
              <w:rPr>
                <w:rFonts w:ascii="Calibri" w:hAnsi="Calibri" w:cs="Calibri"/>
                <w:b/>
                <w:bCs/>
                <w:sz w:val="22"/>
                <w:szCs w:val="22"/>
              </w:rPr>
            </w:pPr>
            <w:r w:rsidRPr="00611375">
              <w:rPr>
                <w:rFonts w:ascii="Calibri" w:hAnsi="Calibri" w:cs="Calibri"/>
                <w:b/>
                <w:bCs/>
                <w:sz w:val="22"/>
                <w:szCs w:val="22"/>
              </w:rPr>
              <w:t>Form A3</w:t>
            </w:r>
            <w:r w:rsidR="00957276" w:rsidRPr="00611375">
              <w:rPr>
                <w:rFonts w:ascii="Calibri" w:hAnsi="Calibri" w:cs="Calibri"/>
                <w:b/>
                <w:bCs/>
                <w:sz w:val="22"/>
                <w:szCs w:val="22"/>
              </w:rPr>
              <w:t xml:space="preserve">: </w:t>
            </w:r>
            <w:r w:rsidR="00957276" w:rsidRPr="00611375">
              <w:rPr>
                <w:rFonts w:ascii="Calibri" w:eastAsiaTheme="minorHAnsi" w:hAnsi="Calibri" w:cs="Calibri"/>
                <w:b/>
                <w:bCs/>
                <w:kern w:val="2"/>
                <w:sz w:val="22"/>
                <w:szCs w:val="22"/>
                <w:lang w:val="en-ZA"/>
                <w14:ligatures w14:val="standardContextual"/>
              </w:rPr>
              <w:t>Procedural</w:t>
            </w:r>
            <w:r w:rsidR="00957276" w:rsidRPr="00611375">
              <w:rPr>
                <w:rFonts w:ascii="Calibri" w:hAnsi="Calibri" w:cs="Calibri"/>
                <w:b/>
                <w:bCs/>
                <w:sz w:val="22"/>
                <w:szCs w:val="22"/>
              </w:rPr>
              <w:t xml:space="preserve"> </w:t>
            </w:r>
            <w:r w:rsidR="007D1EA6">
              <w:rPr>
                <w:rFonts w:ascii="Calibri" w:hAnsi="Calibri" w:cs="Calibri"/>
                <w:b/>
                <w:bCs/>
                <w:sz w:val="22"/>
                <w:szCs w:val="22"/>
              </w:rPr>
              <w:t>R</w:t>
            </w:r>
            <w:r w:rsidR="00957276" w:rsidRPr="00611375">
              <w:rPr>
                <w:rFonts w:ascii="Calibri" w:hAnsi="Calibri" w:cs="Calibri"/>
                <w:b/>
                <w:bCs/>
                <w:sz w:val="22"/>
                <w:szCs w:val="22"/>
              </w:rPr>
              <w:t>equirements of the Stock Exchange News Service</w:t>
            </w:r>
          </w:p>
          <w:p w14:paraId="61AB8C04" w14:textId="77777777" w:rsidR="00A21854" w:rsidRDefault="00A21854" w:rsidP="00611375">
            <w:pPr>
              <w:widowControl/>
              <w:spacing w:before="0"/>
              <w:jc w:val="left"/>
              <w:rPr>
                <w:rFonts w:ascii="Calibri" w:hAnsi="Calibri" w:cs="Calibri"/>
                <w:b/>
                <w:bCs/>
                <w:sz w:val="22"/>
                <w:szCs w:val="22"/>
              </w:rPr>
            </w:pPr>
          </w:p>
          <w:p w14:paraId="292211DC" w14:textId="2D30A9D8" w:rsidR="00611375" w:rsidRPr="00A21854" w:rsidRDefault="00A21854" w:rsidP="00611375">
            <w:pPr>
              <w:widowControl/>
              <w:spacing w:before="0"/>
              <w:jc w:val="left"/>
              <w:rPr>
                <w:rFonts w:ascii="Calibri" w:hAnsi="Calibri" w:cs="Calibri"/>
                <w:b/>
                <w:bCs/>
                <w:i/>
                <w:iCs/>
                <w:sz w:val="22"/>
                <w:szCs w:val="22"/>
              </w:rPr>
            </w:pPr>
            <w:r w:rsidRPr="00A21854">
              <w:rPr>
                <w:rFonts w:ascii="Calibri" w:hAnsi="Calibri" w:cs="Calibri"/>
                <w:b/>
                <w:bCs/>
                <w:i/>
                <w:iCs/>
                <w:sz w:val="22"/>
                <w:szCs w:val="22"/>
              </w:rPr>
              <w:t>Previous Schedule 11</w:t>
            </w:r>
          </w:p>
        </w:tc>
      </w:tr>
    </w:tbl>
    <w:p w14:paraId="1CF01EB6" w14:textId="0997B565" w:rsidR="00BA01DB" w:rsidRPr="00611375" w:rsidRDefault="007D1EA6" w:rsidP="00BA01DB">
      <w:pPr>
        <w:pStyle w:val="0000"/>
        <w:spacing w:after="12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.1</w:t>
      </w:r>
      <w:r w:rsidR="00BA01DB" w:rsidRPr="00611375">
        <w:rPr>
          <w:rFonts w:ascii="Calibri" w:hAnsi="Calibri" w:cs="Calibri"/>
          <w:sz w:val="22"/>
          <w:szCs w:val="22"/>
        </w:rPr>
        <w:tab/>
        <w:t>In this schedule, unless otherwise stated or the context requires otherwise, an expression which denotes any gender includes other genders and the following terms will have the meanings set out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1"/>
        <w:gridCol w:w="4677"/>
      </w:tblGrid>
      <w:tr w:rsidR="00BA01DB" w:rsidRPr="00611375" w14:paraId="2046D331" w14:textId="77777777" w:rsidTr="008536C1">
        <w:trPr>
          <w:jc w:val="center"/>
        </w:trPr>
        <w:tc>
          <w:tcPr>
            <w:tcW w:w="3261" w:type="dxa"/>
          </w:tcPr>
          <w:p w14:paraId="42D6E7D6" w14:textId="77777777" w:rsidR="00BA01DB" w:rsidRPr="00611375" w:rsidRDefault="00BA01DB" w:rsidP="008536C1">
            <w:pPr>
              <w:pStyle w:val="tabletext"/>
              <w:spacing w:before="40" w:after="40"/>
              <w:ind w:left="113" w:right="113"/>
              <w:jc w:val="center"/>
              <w:rPr>
                <w:rFonts w:ascii="Calibri" w:hAnsi="Calibri" w:cs="Calibri"/>
                <w:b/>
                <w:sz w:val="22"/>
                <w:szCs w:val="22"/>
              </w:rPr>
            </w:pPr>
            <w:r w:rsidRPr="00611375">
              <w:rPr>
                <w:rFonts w:ascii="Calibri" w:hAnsi="Calibri" w:cs="Calibri"/>
                <w:b/>
                <w:sz w:val="22"/>
                <w:szCs w:val="22"/>
              </w:rPr>
              <w:t>Term</w:t>
            </w:r>
          </w:p>
        </w:tc>
        <w:tc>
          <w:tcPr>
            <w:tcW w:w="4677" w:type="dxa"/>
          </w:tcPr>
          <w:p w14:paraId="4988CDAA" w14:textId="77777777" w:rsidR="00BA01DB" w:rsidRPr="00611375" w:rsidRDefault="00BA01DB" w:rsidP="008536C1">
            <w:pPr>
              <w:pStyle w:val="tabletext"/>
              <w:spacing w:before="40" w:after="40"/>
              <w:ind w:left="113" w:right="113"/>
              <w:jc w:val="center"/>
              <w:rPr>
                <w:rFonts w:ascii="Calibri" w:hAnsi="Calibri" w:cs="Calibri"/>
                <w:b/>
                <w:sz w:val="22"/>
                <w:szCs w:val="22"/>
              </w:rPr>
            </w:pPr>
            <w:r w:rsidRPr="00611375">
              <w:rPr>
                <w:rFonts w:ascii="Calibri" w:hAnsi="Calibri" w:cs="Calibri"/>
                <w:b/>
                <w:sz w:val="22"/>
                <w:szCs w:val="22"/>
              </w:rPr>
              <w:t>Meaning</w:t>
            </w:r>
          </w:p>
        </w:tc>
      </w:tr>
      <w:tr w:rsidR="00BA01DB" w:rsidRPr="00611375" w14:paraId="37BD546F" w14:textId="77777777" w:rsidTr="008536C1">
        <w:trPr>
          <w:jc w:val="center"/>
        </w:trPr>
        <w:tc>
          <w:tcPr>
            <w:tcW w:w="3261" w:type="dxa"/>
          </w:tcPr>
          <w:p w14:paraId="5820CFDF"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company announcements</w:t>
            </w:r>
          </w:p>
        </w:tc>
        <w:tc>
          <w:tcPr>
            <w:tcW w:w="4677" w:type="dxa"/>
          </w:tcPr>
          <w:p w14:paraId="7DD38C61" w14:textId="646603CE"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 xml:space="preserve">announcements </w:t>
            </w:r>
            <w:r w:rsidR="00053E00">
              <w:rPr>
                <w:rFonts w:ascii="Calibri" w:hAnsi="Calibri" w:cs="Calibri"/>
                <w:sz w:val="22"/>
                <w:szCs w:val="22"/>
              </w:rPr>
              <w:t xml:space="preserve">made in terms of the </w:t>
            </w:r>
            <w:r w:rsidR="00AA5A8C">
              <w:rPr>
                <w:rFonts w:ascii="Calibri" w:hAnsi="Calibri" w:cs="Calibri"/>
                <w:sz w:val="22"/>
                <w:szCs w:val="22"/>
              </w:rPr>
              <w:t>Requirements</w:t>
            </w:r>
          </w:p>
        </w:tc>
      </w:tr>
      <w:tr w:rsidR="00BA01DB" w:rsidRPr="00611375" w14:paraId="5F9860ED" w14:textId="77777777" w:rsidTr="008536C1">
        <w:trPr>
          <w:jc w:val="center"/>
        </w:trPr>
        <w:tc>
          <w:tcPr>
            <w:tcW w:w="3261" w:type="dxa"/>
          </w:tcPr>
          <w:p w14:paraId="755CEF14"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JSE approval</w:t>
            </w:r>
          </w:p>
        </w:tc>
        <w:tc>
          <w:tcPr>
            <w:tcW w:w="4677" w:type="dxa"/>
          </w:tcPr>
          <w:p w14:paraId="094CBA6B"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approval by the JSE</w:t>
            </w:r>
          </w:p>
        </w:tc>
      </w:tr>
      <w:tr w:rsidR="00BA01DB" w:rsidRPr="00611375" w14:paraId="22A4FDB4" w14:textId="77777777" w:rsidTr="008536C1">
        <w:trPr>
          <w:jc w:val="center"/>
        </w:trPr>
        <w:tc>
          <w:tcPr>
            <w:tcW w:w="3261" w:type="dxa"/>
          </w:tcPr>
          <w:p w14:paraId="73CB5DEE"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JSE trading hours</w:t>
            </w:r>
          </w:p>
        </w:tc>
        <w:tc>
          <w:tcPr>
            <w:tcW w:w="4677" w:type="dxa"/>
          </w:tcPr>
          <w:p w14:paraId="5BDF5AA3"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from 09h00 to 17h00 on business days</w:t>
            </w:r>
          </w:p>
        </w:tc>
      </w:tr>
      <w:tr w:rsidR="00BA01DB" w:rsidRPr="00611375" w14:paraId="20FE7573" w14:textId="77777777" w:rsidTr="008536C1">
        <w:trPr>
          <w:jc w:val="center"/>
        </w:trPr>
        <w:tc>
          <w:tcPr>
            <w:tcW w:w="3261" w:type="dxa"/>
          </w:tcPr>
          <w:p w14:paraId="2EA597BE"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price sensitive company releases</w:t>
            </w:r>
          </w:p>
        </w:tc>
        <w:tc>
          <w:tcPr>
            <w:tcW w:w="4677" w:type="dxa"/>
          </w:tcPr>
          <w:p w14:paraId="21BB1417"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releases, other than company announcements, by applicant issuers that contain price sensitive information</w:t>
            </w:r>
          </w:p>
        </w:tc>
      </w:tr>
      <w:tr w:rsidR="00BA01DB" w:rsidRPr="00611375" w14:paraId="73974430" w14:textId="77777777" w:rsidTr="008536C1">
        <w:trPr>
          <w:jc w:val="center"/>
        </w:trPr>
        <w:tc>
          <w:tcPr>
            <w:tcW w:w="3261" w:type="dxa"/>
          </w:tcPr>
          <w:p w14:paraId="5CEC6E01"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price sensitive information</w:t>
            </w:r>
            <w:r w:rsidRPr="00611375">
              <w:rPr>
                <w:rStyle w:val="FootnoteReference"/>
                <w:rFonts w:ascii="Calibri" w:hAnsi="Calibri" w:cs="Calibri"/>
                <w:sz w:val="22"/>
                <w:szCs w:val="22"/>
              </w:rPr>
              <w:footnoteReference w:customMarkFollows="1" w:id="1"/>
              <w:t> </w:t>
            </w:r>
          </w:p>
        </w:tc>
        <w:tc>
          <w:tcPr>
            <w:tcW w:w="4677" w:type="dxa"/>
          </w:tcPr>
          <w:p w14:paraId="75450329"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as defined in the definitions section</w:t>
            </w:r>
          </w:p>
        </w:tc>
      </w:tr>
      <w:tr w:rsidR="00BA01DB" w:rsidRPr="00611375" w14:paraId="462B0FC0" w14:textId="77777777" w:rsidTr="008536C1">
        <w:trPr>
          <w:jc w:val="center"/>
        </w:trPr>
        <w:tc>
          <w:tcPr>
            <w:tcW w:w="3261" w:type="dxa"/>
          </w:tcPr>
          <w:p w14:paraId="0D1FCEDD"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registered submitter</w:t>
            </w:r>
          </w:p>
        </w:tc>
        <w:tc>
          <w:tcPr>
            <w:tcW w:w="4677" w:type="dxa"/>
          </w:tcPr>
          <w:p w14:paraId="184FBDA5"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an organisation that has been approved and registered by SENS to submit announcements on behalf of applicant issuers</w:t>
            </w:r>
          </w:p>
        </w:tc>
      </w:tr>
      <w:tr w:rsidR="00BA01DB" w:rsidRPr="00611375" w14:paraId="373161A5" w14:textId="77777777" w:rsidTr="008536C1">
        <w:trPr>
          <w:jc w:val="center"/>
        </w:trPr>
        <w:tc>
          <w:tcPr>
            <w:tcW w:w="3261" w:type="dxa"/>
          </w:tcPr>
          <w:p w14:paraId="7D08040D"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relevant company information</w:t>
            </w:r>
          </w:p>
        </w:tc>
        <w:tc>
          <w:tcPr>
            <w:tcW w:w="4677" w:type="dxa"/>
          </w:tcPr>
          <w:p w14:paraId="3790559E"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company announcements and price sensitive company releases</w:t>
            </w:r>
          </w:p>
        </w:tc>
      </w:tr>
      <w:tr w:rsidR="00BA01DB" w:rsidRPr="00611375" w14:paraId="279F5B06" w14:textId="77777777" w:rsidTr="008536C1">
        <w:trPr>
          <w:jc w:val="center"/>
        </w:trPr>
        <w:tc>
          <w:tcPr>
            <w:tcW w:w="3261" w:type="dxa"/>
          </w:tcPr>
          <w:p w14:paraId="7C7BC936"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SENS operational hours</w:t>
            </w:r>
          </w:p>
        </w:tc>
        <w:tc>
          <w:tcPr>
            <w:tcW w:w="4677" w:type="dxa"/>
          </w:tcPr>
          <w:p w14:paraId="33E30764" w14:textId="77777777" w:rsidR="00BA01DB" w:rsidRPr="00611375" w:rsidRDefault="00BA01DB" w:rsidP="008536C1">
            <w:pPr>
              <w:pStyle w:val="tabletext"/>
              <w:spacing w:before="40" w:after="40"/>
              <w:ind w:left="113" w:right="113"/>
              <w:rPr>
                <w:rFonts w:ascii="Calibri" w:hAnsi="Calibri" w:cs="Calibri"/>
                <w:sz w:val="22"/>
                <w:szCs w:val="22"/>
              </w:rPr>
            </w:pPr>
            <w:r w:rsidRPr="00611375">
              <w:rPr>
                <w:rFonts w:ascii="Calibri" w:hAnsi="Calibri" w:cs="Calibri"/>
                <w:sz w:val="22"/>
                <w:szCs w:val="22"/>
              </w:rPr>
              <w:t>from 07h00 to 18h00 on business days</w:t>
            </w:r>
          </w:p>
        </w:tc>
      </w:tr>
    </w:tbl>
    <w:p w14:paraId="2773CAE6"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Introduction</w:t>
      </w:r>
    </w:p>
    <w:p w14:paraId="203BAB9A" w14:textId="276D786B" w:rsidR="00BA01DB" w:rsidRPr="00611375" w:rsidRDefault="007D1EA6" w:rsidP="00BA01DB">
      <w:pPr>
        <w:pStyle w:val="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.2</w:t>
      </w:r>
      <w:r w:rsidR="00BA01DB" w:rsidRPr="00611375">
        <w:rPr>
          <w:rFonts w:ascii="Calibri" w:hAnsi="Calibri" w:cs="Calibri"/>
          <w:sz w:val="22"/>
          <w:szCs w:val="22"/>
        </w:rPr>
        <w:tab/>
        <w:t>As a result of a need to disseminate relevant company information to the market on a real time basis, the JSE has established a system called the Stock Exchange News Service (“SENS”). All relevant company information received by SENS will be electronically transmitted to the SENS subscribers which include the major wire services, who will immediately disseminate such information to their customers. SENS will facilitate early, equal and wide dissemination of relevant company information, and will improve communication between applicant issuers and the market.</w:t>
      </w:r>
    </w:p>
    <w:p w14:paraId="2C3308D1"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Timely submission and release of relevant company information</w:t>
      </w:r>
    </w:p>
    <w:p w14:paraId="3CE5F38C" w14:textId="0AF17E7C" w:rsidR="00BA01DB" w:rsidRPr="00611375" w:rsidRDefault="007D1EA6" w:rsidP="00BA01DB">
      <w:pPr>
        <w:pStyle w:val="a-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.3</w:t>
      </w:r>
      <w:r w:rsidR="00BA01DB" w:rsidRPr="00611375">
        <w:rPr>
          <w:rFonts w:ascii="Calibri" w:hAnsi="Calibri" w:cs="Calibri"/>
          <w:sz w:val="22"/>
          <w:szCs w:val="22"/>
        </w:rPr>
        <w:tab/>
        <w:t>(a)</w:t>
      </w:r>
      <w:r w:rsidR="00BA01DB" w:rsidRPr="00611375">
        <w:rPr>
          <w:rFonts w:ascii="Calibri" w:hAnsi="Calibri" w:cs="Calibri"/>
          <w:sz w:val="22"/>
          <w:szCs w:val="22"/>
        </w:rPr>
        <w:tab/>
        <w:t xml:space="preserve">All relevant company information must be released by the applicant issuer on the SENS system as soon as possible after authorisation by the applicant issuer. To promote the equal release of such information and confidentiality prior thereto, in terms of paragraph </w:t>
      </w:r>
      <w:r w:rsidR="003F07A3">
        <w:rPr>
          <w:rFonts w:ascii="Calibri" w:hAnsi="Calibri" w:cs="Calibri"/>
          <w:sz w:val="22"/>
          <w:szCs w:val="22"/>
        </w:rPr>
        <w:t>6.20</w:t>
      </w:r>
      <w:r w:rsidR="00BA01DB" w:rsidRPr="00611375">
        <w:rPr>
          <w:rFonts w:ascii="Calibri" w:hAnsi="Calibri" w:cs="Calibri"/>
          <w:sz w:val="22"/>
          <w:szCs w:val="22"/>
        </w:rPr>
        <w:t xml:space="preserve"> of Section </w:t>
      </w:r>
      <w:r w:rsidR="003F07A3">
        <w:rPr>
          <w:rFonts w:ascii="Calibri" w:hAnsi="Calibri" w:cs="Calibri"/>
          <w:sz w:val="22"/>
          <w:szCs w:val="22"/>
        </w:rPr>
        <w:t>6</w:t>
      </w:r>
      <w:r w:rsidR="00BA01DB" w:rsidRPr="00611375">
        <w:rPr>
          <w:rFonts w:ascii="Calibri" w:hAnsi="Calibri" w:cs="Calibri"/>
          <w:sz w:val="22"/>
          <w:szCs w:val="22"/>
        </w:rPr>
        <w:t xml:space="preserve">, price sensitive information may not, subject to paragraph </w:t>
      </w:r>
      <w:r w:rsidR="00A144E4">
        <w:rPr>
          <w:rFonts w:ascii="Calibri" w:hAnsi="Calibri" w:cs="Calibri"/>
          <w:sz w:val="22"/>
          <w:szCs w:val="22"/>
        </w:rPr>
        <w:t>6.19</w:t>
      </w:r>
      <w:r w:rsidR="00E12415">
        <w:rPr>
          <w:rFonts w:ascii="Calibri" w:hAnsi="Calibri" w:cs="Calibri"/>
          <w:sz w:val="22"/>
          <w:szCs w:val="22"/>
        </w:rPr>
        <w:t xml:space="preserve"> – 6.33</w:t>
      </w:r>
      <w:r w:rsidR="00BA01DB" w:rsidRPr="00611375">
        <w:rPr>
          <w:rFonts w:ascii="Calibri" w:hAnsi="Calibri" w:cs="Calibri"/>
          <w:sz w:val="22"/>
          <w:szCs w:val="22"/>
        </w:rPr>
        <w:t>, be released (even subject to a time embargo):</w:t>
      </w:r>
    </w:p>
    <w:p w14:paraId="5CBD0F7C" w14:textId="2C0A6D5C" w:rsidR="00BA01DB" w:rsidRPr="00611375" w:rsidRDefault="00BA01DB" w:rsidP="00BA01DB">
      <w:pPr>
        <w:pStyle w:val="i-000a"/>
        <w:rPr>
          <w:rFonts w:ascii="Calibri" w:hAnsi="Calibri" w:cs="Calibri"/>
          <w:sz w:val="22"/>
          <w:szCs w:val="22"/>
        </w:rPr>
      </w:pPr>
      <w:r w:rsidRPr="00611375">
        <w:rPr>
          <w:rFonts w:ascii="Calibri" w:hAnsi="Calibri" w:cs="Calibri"/>
          <w:sz w:val="22"/>
          <w:szCs w:val="22"/>
        </w:rPr>
        <w:tab/>
        <w:t>(i)</w:t>
      </w:r>
      <w:r w:rsidRPr="00611375">
        <w:rPr>
          <w:rFonts w:ascii="Calibri" w:hAnsi="Calibri" w:cs="Calibri"/>
          <w:sz w:val="22"/>
          <w:szCs w:val="22"/>
        </w:rPr>
        <w:tab/>
        <w:t xml:space="preserve">during JSE trading hours, until such time as such information has been published through SENS in terms of paragraph </w:t>
      </w:r>
      <w:r w:rsidR="008A5963">
        <w:rPr>
          <w:rFonts w:ascii="Calibri" w:hAnsi="Calibri" w:cs="Calibri"/>
          <w:sz w:val="22"/>
          <w:szCs w:val="22"/>
        </w:rPr>
        <w:t>1</w:t>
      </w:r>
      <w:r w:rsidRPr="00611375">
        <w:rPr>
          <w:rFonts w:ascii="Calibri" w:hAnsi="Calibri" w:cs="Calibri"/>
          <w:sz w:val="22"/>
          <w:szCs w:val="22"/>
        </w:rPr>
        <w:t>.7 below; or</w:t>
      </w:r>
    </w:p>
    <w:p w14:paraId="5C07E8C7" w14:textId="4E53E96B" w:rsidR="00BA01DB" w:rsidRPr="00611375" w:rsidRDefault="00BA01DB" w:rsidP="00BA01DB">
      <w:pPr>
        <w:pStyle w:val="i-000a"/>
        <w:rPr>
          <w:rFonts w:ascii="Calibri" w:hAnsi="Calibri" w:cs="Calibri"/>
          <w:sz w:val="22"/>
          <w:szCs w:val="22"/>
        </w:rPr>
      </w:pPr>
      <w:r w:rsidRPr="00611375">
        <w:rPr>
          <w:rFonts w:ascii="Calibri" w:hAnsi="Calibri" w:cs="Calibri"/>
          <w:sz w:val="22"/>
          <w:szCs w:val="22"/>
        </w:rPr>
        <w:tab/>
        <w:t>(ii)</w:t>
      </w:r>
      <w:r w:rsidRPr="00611375">
        <w:rPr>
          <w:rFonts w:ascii="Calibri" w:hAnsi="Calibri" w:cs="Calibri"/>
          <w:sz w:val="22"/>
          <w:szCs w:val="22"/>
        </w:rPr>
        <w:tab/>
        <w:t xml:space="preserve">outside JSE trading hours, until such time as such information has been </w:t>
      </w:r>
      <w:r w:rsidRPr="00611375">
        <w:rPr>
          <w:rFonts w:ascii="Calibri" w:hAnsi="Calibri" w:cs="Calibri"/>
          <w:sz w:val="22"/>
          <w:szCs w:val="22"/>
        </w:rPr>
        <w:lastRenderedPageBreak/>
        <w:t xml:space="preserve">authorised by the applicant issuer and, if required, approved (in terms of paragraph </w:t>
      </w:r>
      <w:r w:rsidR="008A5963">
        <w:rPr>
          <w:rFonts w:ascii="Calibri" w:hAnsi="Calibri" w:cs="Calibri"/>
          <w:sz w:val="22"/>
          <w:szCs w:val="22"/>
        </w:rPr>
        <w:t>1</w:t>
      </w:r>
      <w:r w:rsidRPr="00611375">
        <w:rPr>
          <w:rFonts w:ascii="Calibri" w:hAnsi="Calibri" w:cs="Calibri"/>
          <w:sz w:val="22"/>
          <w:szCs w:val="22"/>
        </w:rPr>
        <w:t xml:space="preserve">.6 below), and arrangements have been made for such information to be published through SENS prior to the commencement of trading on the JSE on the next business day. </w:t>
      </w:r>
    </w:p>
    <w:p w14:paraId="367A073D"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Registration of submitters</w:t>
      </w:r>
    </w:p>
    <w:p w14:paraId="02748D0D" w14:textId="7ED2B0B5" w:rsidR="00BA01DB" w:rsidRPr="00611375" w:rsidRDefault="007D1EA6" w:rsidP="00BA01DB">
      <w:pPr>
        <w:pStyle w:val="a-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.4</w:t>
      </w:r>
      <w:r w:rsidR="00BA01DB" w:rsidRPr="00611375">
        <w:rPr>
          <w:rFonts w:ascii="Calibri" w:hAnsi="Calibri" w:cs="Calibri"/>
          <w:sz w:val="22"/>
          <w:szCs w:val="22"/>
        </w:rPr>
        <w:tab/>
        <w:t>(a)</w:t>
      </w:r>
      <w:r w:rsidR="00BA01DB" w:rsidRPr="00611375">
        <w:rPr>
          <w:rFonts w:ascii="Calibri" w:hAnsi="Calibri" w:cs="Calibri"/>
          <w:sz w:val="22"/>
          <w:szCs w:val="22"/>
        </w:rPr>
        <w:tab/>
        <w:t>The JSE will register the first user, called the Super User, for every sponsor, designated adviser, debt sponsor and issuer. These Super Users will be informed by email of their sign-on and password. A registered Super User is required to fill in the external registration form on the Issuer Regulation System for every additional user it wants to register on the system. On approval the new user will be notified by email.</w:t>
      </w:r>
    </w:p>
    <w:p w14:paraId="4C53CFB0"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(b)</w:t>
      </w:r>
      <w:r w:rsidRPr="00611375">
        <w:rPr>
          <w:rFonts w:ascii="Calibri" w:hAnsi="Calibri" w:cs="Calibri"/>
          <w:sz w:val="22"/>
          <w:szCs w:val="22"/>
        </w:rPr>
        <w:tab/>
        <w:t>Only sponsors and designated advisers are allowed to submit SENS announcements on behalf of equity applicant issuers. ETF issuers, debt issuers, interest rate issuers and warrant issuers are allowed to submit their own announcements or they can submit through their sponsor. Regulatory bodies are allowed to submit their own announcements.</w:t>
      </w:r>
    </w:p>
    <w:p w14:paraId="465373F9"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Method and form of submission</w:t>
      </w:r>
    </w:p>
    <w:p w14:paraId="0A94EA8E" w14:textId="5E92668A" w:rsidR="00BA01DB" w:rsidRPr="00611375" w:rsidRDefault="007D1EA6" w:rsidP="00BA01DB">
      <w:pPr>
        <w:pStyle w:val="a-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.5</w:t>
      </w:r>
      <w:r w:rsidR="00BA01DB" w:rsidRPr="00611375">
        <w:rPr>
          <w:rFonts w:ascii="Calibri" w:hAnsi="Calibri" w:cs="Calibri"/>
          <w:sz w:val="22"/>
          <w:szCs w:val="22"/>
        </w:rPr>
        <w:tab/>
        <w:t>(a)</w:t>
      </w:r>
      <w:r w:rsidR="00BA01DB" w:rsidRPr="00611375">
        <w:rPr>
          <w:rFonts w:ascii="Calibri" w:hAnsi="Calibri" w:cs="Calibri"/>
          <w:sz w:val="22"/>
          <w:szCs w:val="22"/>
        </w:rPr>
        <w:tab/>
        <w:t>Relevant company information must be submitted to SENS through the JSE website.</w:t>
      </w:r>
    </w:p>
    <w:p w14:paraId="0DF70DED"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(b)</w:t>
      </w:r>
      <w:r w:rsidRPr="00611375">
        <w:rPr>
          <w:rFonts w:ascii="Calibri" w:hAnsi="Calibri" w:cs="Calibri"/>
          <w:sz w:val="22"/>
          <w:szCs w:val="22"/>
        </w:rPr>
        <w:tab/>
        <w:t>As indicated in paragraph 3.45 of Section 3, the relevant company information must be in English and must conform to the specifications set out in this schedule, to prevent any delay in publication through SENS.</w:t>
      </w:r>
    </w:p>
    <w:p w14:paraId="59DDE363"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(c)</w:t>
      </w:r>
      <w:r w:rsidRPr="00611375">
        <w:rPr>
          <w:rFonts w:ascii="Calibri" w:hAnsi="Calibri" w:cs="Calibri"/>
          <w:sz w:val="22"/>
          <w:szCs w:val="22"/>
        </w:rPr>
        <w:tab/>
        <w:t>A maximum of 400 characters per line is allowed.</w:t>
      </w:r>
    </w:p>
    <w:p w14:paraId="30691FD6"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(d)</w:t>
      </w:r>
      <w:r w:rsidRPr="00611375">
        <w:rPr>
          <w:rFonts w:ascii="Calibri" w:hAnsi="Calibri" w:cs="Calibri"/>
          <w:sz w:val="22"/>
          <w:szCs w:val="22"/>
        </w:rPr>
        <w:tab/>
        <w:t xml:space="preserve">File names should not include any of the following characters #, %, </w:t>
      </w:r>
      <w:proofErr w:type="gramStart"/>
      <w:r w:rsidRPr="00611375">
        <w:rPr>
          <w:rFonts w:ascii="Calibri" w:hAnsi="Calibri" w:cs="Calibri"/>
          <w:sz w:val="22"/>
          <w:szCs w:val="22"/>
        </w:rPr>
        <w:t>&amp;,</w:t>
      </w:r>
      <w:proofErr w:type="gramEnd"/>
      <w:r w:rsidRPr="00611375">
        <w:rPr>
          <w:rFonts w:ascii="Calibri" w:hAnsi="Calibri" w:cs="Calibri"/>
          <w:sz w:val="22"/>
          <w:szCs w:val="22"/>
        </w:rPr>
        <w:t xml:space="preserve"> *, &lt;, &gt;</w:t>
      </w:r>
      <w:proofErr w:type="gramStart"/>
      <w:r w:rsidRPr="00611375">
        <w:rPr>
          <w:rFonts w:ascii="Calibri" w:hAnsi="Calibri" w:cs="Calibri"/>
          <w:sz w:val="22"/>
          <w:szCs w:val="22"/>
        </w:rPr>
        <w:t>, ?</w:t>
      </w:r>
      <w:proofErr w:type="gramEnd"/>
      <w:r w:rsidRPr="00611375">
        <w:rPr>
          <w:rFonts w:ascii="Calibri" w:hAnsi="Calibri" w:cs="Calibri"/>
          <w:sz w:val="22"/>
          <w:szCs w:val="22"/>
        </w:rPr>
        <w:t xml:space="preserve">, |, </w:t>
      </w:r>
      <w:proofErr w:type="gramStart"/>
      <w:r w:rsidRPr="00611375">
        <w:rPr>
          <w:rFonts w:ascii="Calibri" w:hAnsi="Calibri" w:cs="Calibri"/>
          <w:sz w:val="22"/>
          <w:szCs w:val="22"/>
        </w:rPr>
        <w:t>{ or</w:t>
      </w:r>
      <w:proofErr w:type="gramEnd"/>
      <w:r w:rsidRPr="00611375">
        <w:rPr>
          <w:rFonts w:ascii="Calibri" w:hAnsi="Calibri" w:cs="Calibri"/>
          <w:sz w:val="22"/>
          <w:szCs w:val="22"/>
        </w:rPr>
        <w:t xml:space="preserve"> }.</w:t>
      </w:r>
    </w:p>
    <w:p w14:paraId="4BF72A89"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(e)</w:t>
      </w:r>
      <w:r w:rsidRPr="00611375">
        <w:rPr>
          <w:rFonts w:ascii="Calibri" w:hAnsi="Calibri" w:cs="Calibri"/>
          <w:sz w:val="22"/>
          <w:szCs w:val="22"/>
        </w:rPr>
        <w:tab/>
        <w:t>The pdf file must not exceed 3.5 megabyte.</w:t>
      </w:r>
    </w:p>
    <w:p w14:paraId="6427A2C8"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(f)</w:t>
      </w:r>
      <w:r w:rsidRPr="00611375">
        <w:rPr>
          <w:rFonts w:ascii="Calibri" w:hAnsi="Calibri" w:cs="Calibri"/>
          <w:sz w:val="22"/>
          <w:szCs w:val="22"/>
        </w:rPr>
        <w:tab/>
        <w:t>Tab spacing must not be used. If columns with figures are necessary, they must be aligned using the space bar and not with tab spacing.</w:t>
      </w:r>
      <w:r w:rsidRPr="00611375">
        <w:rPr>
          <w:rStyle w:val="FootnoteReference"/>
          <w:rFonts w:ascii="Calibri" w:hAnsi="Calibri" w:cs="Calibri"/>
          <w:sz w:val="22"/>
          <w:szCs w:val="22"/>
        </w:rPr>
        <w:footnoteReference w:customMarkFollows="1" w:id="2"/>
        <w:t> </w:t>
      </w:r>
    </w:p>
    <w:p w14:paraId="5F9CCAC4"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Approval of certain submissions</w:t>
      </w:r>
    </w:p>
    <w:p w14:paraId="1D1BA190" w14:textId="63DA9E66" w:rsidR="00BA01DB" w:rsidRPr="00611375" w:rsidRDefault="007D1EA6" w:rsidP="00BA01DB">
      <w:pPr>
        <w:pStyle w:val="a-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.6</w:t>
      </w:r>
      <w:r w:rsidR="00BA01DB" w:rsidRPr="00611375">
        <w:rPr>
          <w:rFonts w:ascii="Calibri" w:hAnsi="Calibri" w:cs="Calibri"/>
          <w:sz w:val="22"/>
          <w:szCs w:val="22"/>
        </w:rPr>
        <w:tab/>
        <w:t>(a)</w:t>
      </w:r>
      <w:r w:rsidR="00BA01DB" w:rsidRPr="00611375">
        <w:rPr>
          <w:rFonts w:ascii="Calibri" w:hAnsi="Calibri" w:cs="Calibri"/>
          <w:sz w:val="22"/>
          <w:szCs w:val="22"/>
        </w:rPr>
        <w:tab/>
        <w:t xml:space="preserve">Company announcements requiring JSE approval will, be forwarded to the relevant JSE staff for approval. The relevant JSE staff will scrutinise the announcement as soon as reasonably possible. If the relevant JSE staff approve the announcement without any comments thereon, the relevant JSE staff will immediately communicate their approval to SENS. However, if the relevant JSE staff approve the announcement subject to certain required amendments, the relevant JSE staff will communicate such amendments to the </w:t>
      </w:r>
      <w:proofErr w:type="gramStart"/>
      <w:r w:rsidR="00BA01DB" w:rsidRPr="00611375">
        <w:rPr>
          <w:rFonts w:ascii="Calibri" w:hAnsi="Calibri" w:cs="Calibri"/>
          <w:sz w:val="22"/>
          <w:szCs w:val="22"/>
        </w:rPr>
        <w:t>sponsor</w:t>
      </w:r>
      <w:proofErr w:type="gramEnd"/>
      <w:r w:rsidR="00BA01DB" w:rsidRPr="00611375">
        <w:rPr>
          <w:rFonts w:ascii="Calibri" w:hAnsi="Calibri" w:cs="Calibri"/>
          <w:sz w:val="22"/>
          <w:szCs w:val="22"/>
        </w:rPr>
        <w:t xml:space="preserve"> or submitter and the announcement will be required to be resubmitted. This procedure will continue until the announcement is approved by the JSE and SENS has been notified by the JSE of such approval. After receiving approval from the JSE staff, SENS will release the announcement on the date and time as stipulated by the submitter on the activity tab.</w:t>
      </w:r>
    </w:p>
    <w:p w14:paraId="4811DB6B"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(b)</w:t>
      </w:r>
      <w:r w:rsidRPr="00611375">
        <w:rPr>
          <w:rFonts w:ascii="Calibri" w:hAnsi="Calibri" w:cs="Calibri"/>
          <w:sz w:val="22"/>
          <w:szCs w:val="22"/>
        </w:rPr>
        <w:tab/>
        <w:t xml:space="preserve">If a company announcement requires the approval of another regulatory authority, e.g. the South African Reserve Bank, Panel or the Competition Board, the sponsor of the company, as indicated in paragraph 9.3 above, must state on the activity tab </w:t>
      </w:r>
      <w:proofErr w:type="gramStart"/>
      <w:r w:rsidRPr="00611375">
        <w:rPr>
          <w:rFonts w:ascii="Calibri" w:hAnsi="Calibri" w:cs="Calibri"/>
          <w:sz w:val="22"/>
          <w:szCs w:val="22"/>
        </w:rPr>
        <w:t xml:space="preserve">whether </w:t>
      </w:r>
      <w:r w:rsidRPr="00611375">
        <w:rPr>
          <w:rFonts w:ascii="Calibri" w:hAnsi="Calibri" w:cs="Calibri"/>
          <w:sz w:val="22"/>
          <w:szCs w:val="22"/>
        </w:rPr>
        <w:lastRenderedPageBreak/>
        <w:t>or not</w:t>
      </w:r>
      <w:proofErr w:type="gramEnd"/>
      <w:r w:rsidRPr="00611375">
        <w:rPr>
          <w:rFonts w:ascii="Calibri" w:hAnsi="Calibri" w:cs="Calibri"/>
          <w:sz w:val="22"/>
          <w:szCs w:val="22"/>
        </w:rPr>
        <w:t xml:space="preserve"> such regulatory approval has been obtained.</w:t>
      </w:r>
    </w:p>
    <w:p w14:paraId="701B63FF"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Publication through SENS</w:t>
      </w:r>
    </w:p>
    <w:p w14:paraId="65D81C74" w14:textId="5382AB0C" w:rsidR="00BA01DB" w:rsidRPr="00611375" w:rsidRDefault="007D1EA6" w:rsidP="00BA01DB">
      <w:pPr>
        <w:pStyle w:val="a-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.7</w:t>
      </w:r>
      <w:r w:rsidR="00BA01DB" w:rsidRPr="00611375">
        <w:rPr>
          <w:rFonts w:ascii="Calibri" w:hAnsi="Calibri" w:cs="Calibri"/>
          <w:sz w:val="22"/>
          <w:szCs w:val="22"/>
        </w:rPr>
        <w:tab/>
        <w:t>(a)</w:t>
      </w:r>
      <w:r w:rsidR="00BA01DB" w:rsidRPr="00611375">
        <w:rPr>
          <w:rFonts w:ascii="Calibri" w:hAnsi="Calibri" w:cs="Calibri"/>
          <w:sz w:val="22"/>
          <w:szCs w:val="22"/>
        </w:rPr>
        <w:tab/>
        <w:t>All company information will be published through SENS as soon as practically possible after such information has been approved (if necessary) in terms of paragraph 9.6 above.</w:t>
      </w:r>
    </w:p>
    <w:p w14:paraId="2EC880DB"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(b)</w:t>
      </w:r>
      <w:r w:rsidRPr="00611375">
        <w:rPr>
          <w:rFonts w:ascii="Calibri" w:hAnsi="Calibri" w:cs="Calibri"/>
          <w:sz w:val="22"/>
          <w:szCs w:val="22"/>
        </w:rPr>
        <w:tab/>
        <w:t>Publication through SENS will take place by the SENS system electronically transmitting the company information to SENS subscribers, which include the major wire services, who will immediately disseminate such information to their customers.</w:t>
      </w:r>
    </w:p>
    <w:p w14:paraId="5D042EEB"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SENS Processing</w:t>
      </w:r>
    </w:p>
    <w:p w14:paraId="0488D3A7" w14:textId="3E1DE1F4" w:rsidR="00BA01DB" w:rsidRPr="00611375" w:rsidRDefault="007D1EA6" w:rsidP="00BA01DB">
      <w:pPr>
        <w:pStyle w:val="a-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.8</w:t>
      </w:r>
      <w:r w:rsidR="00BA01DB" w:rsidRPr="00611375">
        <w:rPr>
          <w:rFonts w:ascii="Calibri" w:hAnsi="Calibri" w:cs="Calibri"/>
          <w:sz w:val="22"/>
          <w:szCs w:val="22"/>
        </w:rPr>
        <w:tab/>
        <w:t>(a)</w:t>
      </w:r>
      <w:r w:rsidR="00BA01DB" w:rsidRPr="00611375">
        <w:rPr>
          <w:rFonts w:ascii="Calibri" w:hAnsi="Calibri" w:cs="Calibri"/>
          <w:sz w:val="22"/>
          <w:szCs w:val="22"/>
        </w:rPr>
        <w:tab/>
        <w:t>Submission of documents will be processed on a “first-in-first-out” basis.</w:t>
      </w:r>
    </w:p>
    <w:p w14:paraId="102C5ED3"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(b)</w:t>
      </w:r>
      <w:r w:rsidRPr="00611375">
        <w:rPr>
          <w:rFonts w:ascii="Calibri" w:hAnsi="Calibri" w:cs="Calibri"/>
          <w:sz w:val="22"/>
          <w:szCs w:val="22"/>
        </w:rPr>
        <w:tab/>
        <w:t>Only documents submitted in PDF and TXT file formats will be accepted.</w:t>
      </w:r>
    </w:p>
    <w:p w14:paraId="158CF629"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Confirmation of publication through SENS</w:t>
      </w:r>
    </w:p>
    <w:p w14:paraId="5BCC5012" w14:textId="579EE6B5" w:rsidR="00BA01DB" w:rsidRPr="00611375" w:rsidRDefault="007D1EA6" w:rsidP="00BA01DB">
      <w:pPr>
        <w:pStyle w:val="0000"/>
        <w:rPr>
          <w:rFonts w:ascii="Calibri" w:hAnsi="Calibri" w:cs="Calibri"/>
          <w:sz w:val="22"/>
          <w:szCs w:val="22"/>
        </w:rPr>
      </w:pPr>
      <w:r>
        <w:rPr>
          <w:rFonts w:ascii="Calibri" w:hAnsi="Calibri" w:cs="Calibri"/>
          <w:sz w:val="22"/>
          <w:szCs w:val="22"/>
        </w:rPr>
        <w:t>1</w:t>
      </w:r>
      <w:r w:rsidR="00BA01DB" w:rsidRPr="00611375">
        <w:rPr>
          <w:rFonts w:ascii="Calibri" w:hAnsi="Calibri" w:cs="Calibri"/>
          <w:sz w:val="22"/>
          <w:szCs w:val="22"/>
        </w:rPr>
        <w:t>.</w:t>
      </w:r>
      <w:r>
        <w:rPr>
          <w:rFonts w:ascii="Calibri" w:hAnsi="Calibri" w:cs="Calibri"/>
          <w:sz w:val="22"/>
          <w:szCs w:val="22"/>
        </w:rPr>
        <w:t>9</w:t>
      </w:r>
      <w:r w:rsidR="00BA01DB" w:rsidRPr="00611375">
        <w:rPr>
          <w:rFonts w:ascii="Calibri" w:hAnsi="Calibri" w:cs="Calibri"/>
          <w:sz w:val="22"/>
          <w:szCs w:val="22"/>
        </w:rPr>
        <w:tab/>
        <w:t>Confirmation of publication through SENS will be sent electronically to the submitter in its preferred communication method as per the registration form. If additional confirmation is required, the additional notifications tab in the SENS submission must be completed.</w:t>
      </w:r>
    </w:p>
    <w:p w14:paraId="48289FD3"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Procedural requirements of SENS</w:t>
      </w:r>
    </w:p>
    <w:p w14:paraId="598840F6" w14:textId="210F5746" w:rsidR="00BA01DB" w:rsidRPr="00611375" w:rsidRDefault="00BA01DB" w:rsidP="00BA01DB">
      <w:pPr>
        <w:pStyle w:val="0000"/>
        <w:rPr>
          <w:rFonts w:ascii="Calibri" w:hAnsi="Calibri" w:cs="Calibri"/>
          <w:sz w:val="22"/>
          <w:szCs w:val="22"/>
        </w:rPr>
      </w:pPr>
      <w:r w:rsidRPr="00611375">
        <w:rPr>
          <w:rFonts w:ascii="Calibri" w:hAnsi="Calibri" w:cs="Calibri"/>
          <w:sz w:val="22"/>
          <w:szCs w:val="22"/>
        </w:rPr>
        <w:t>9.1</w:t>
      </w:r>
      <w:r w:rsidR="007D1EA6">
        <w:rPr>
          <w:rFonts w:ascii="Calibri" w:hAnsi="Calibri" w:cs="Calibri"/>
          <w:sz w:val="22"/>
          <w:szCs w:val="22"/>
        </w:rPr>
        <w:t>0</w:t>
      </w:r>
      <w:r w:rsidRPr="00611375">
        <w:rPr>
          <w:rFonts w:ascii="Calibri" w:hAnsi="Calibri" w:cs="Calibri"/>
          <w:sz w:val="22"/>
          <w:szCs w:val="22"/>
        </w:rPr>
        <w:tab/>
        <w:t xml:space="preserve">Notwithstanding prior publication through SENS, relevant company information may be published in the press (in accordance with paragraphs </w:t>
      </w:r>
      <w:r w:rsidR="007D1EA6">
        <w:rPr>
          <w:rFonts w:ascii="Calibri" w:hAnsi="Calibri" w:cs="Calibri"/>
          <w:sz w:val="22"/>
          <w:szCs w:val="22"/>
        </w:rPr>
        <w:t>6.34</w:t>
      </w:r>
      <w:r w:rsidRPr="00611375">
        <w:rPr>
          <w:rFonts w:ascii="Calibri" w:hAnsi="Calibri" w:cs="Calibri"/>
          <w:sz w:val="22"/>
          <w:szCs w:val="22"/>
        </w:rPr>
        <w:t xml:space="preserve"> and </w:t>
      </w:r>
      <w:r w:rsidR="007D1EA6">
        <w:rPr>
          <w:rFonts w:ascii="Calibri" w:hAnsi="Calibri" w:cs="Calibri"/>
          <w:sz w:val="22"/>
          <w:szCs w:val="22"/>
        </w:rPr>
        <w:t>6.35</w:t>
      </w:r>
      <w:r w:rsidRPr="00611375">
        <w:rPr>
          <w:rFonts w:ascii="Calibri" w:hAnsi="Calibri" w:cs="Calibri"/>
          <w:sz w:val="22"/>
          <w:szCs w:val="22"/>
        </w:rPr>
        <w:t xml:space="preserve"> of Section </w:t>
      </w:r>
      <w:r w:rsidR="007D1EA6">
        <w:rPr>
          <w:rFonts w:ascii="Calibri" w:hAnsi="Calibri" w:cs="Calibri"/>
          <w:sz w:val="22"/>
          <w:szCs w:val="22"/>
        </w:rPr>
        <w:t>6</w:t>
      </w:r>
      <w:r w:rsidRPr="00611375">
        <w:rPr>
          <w:rFonts w:ascii="Calibri" w:hAnsi="Calibri" w:cs="Calibri"/>
          <w:sz w:val="22"/>
          <w:szCs w:val="22"/>
        </w:rPr>
        <w:t>) as soon as possible after it has been approved by the JSE (if necessary) in terms of paragraph 9.6 above.</w:t>
      </w:r>
    </w:p>
    <w:p w14:paraId="5B30F901"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Indemnity</w:t>
      </w:r>
    </w:p>
    <w:p w14:paraId="00CD7AD3" w14:textId="1A57B78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9.1</w:t>
      </w:r>
      <w:r w:rsidR="007D1EA6">
        <w:rPr>
          <w:rFonts w:ascii="Calibri" w:hAnsi="Calibri" w:cs="Calibri"/>
          <w:sz w:val="22"/>
          <w:szCs w:val="22"/>
        </w:rPr>
        <w:t>1</w:t>
      </w:r>
      <w:r w:rsidRPr="00611375">
        <w:rPr>
          <w:rFonts w:ascii="Calibri" w:hAnsi="Calibri" w:cs="Calibri"/>
          <w:sz w:val="22"/>
          <w:szCs w:val="22"/>
        </w:rPr>
        <w:tab/>
        <w:t>(a)</w:t>
      </w:r>
      <w:r w:rsidRPr="00611375">
        <w:rPr>
          <w:rFonts w:ascii="Calibri" w:hAnsi="Calibri" w:cs="Calibri"/>
          <w:sz w:val="22"/>
          <w:szCs w:val="22"/>
        </w:rPr>
        <w:tab/>
        <w:t>The JSE will endeavour to ensure that relevant company information submitted to SENS is published in the form submitted to SENS. The JSE, however, makes no undertaking, representation or warranty, either in this regard or as to the accuracy or completeness of the information published through SENS.</w:t>
      </w:r>
    </w:p>
    <w:p w14:paraId="65EDB3DC"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(b)</w:t>
      </w:r>
      <w:r w:rsidRPr="00611375">
        <w:rPr>
          <w:rFonts w:ascii="Calibri" w:hAnsi="Calibri" w:cs="Calibri"/>
          <w:sz w:val="22"/>
          <w:szCs w:val="22"/>
        </w:rPr>
        <w:tab/>
        <w:t>The JSE shall, in particular, save in the event of the JSE’s own wilful default or gross negligence, not be liable either to the person submitting the relevant company information or to any other person for (or in respect of) any direct, indirect or consequential liability, loss, damage or cost of any kind or nature, howsoever arising and whether or not as a result of incorrect, inaccurate or defective information published through SENS, or the failure of any software or hardware, the destruction of data, system malfunction, interruption of communication links or eventuation of any form of force majeure.</w:t>
      </w:r>
    </w:p>
    <w:p w14:paraId="6B19FC80" w14:textId="77777777" w:rsidR="00BA01DB" w:rsidRPr="00611375" w:rsidRDefault="00BA01DB" w:rsidP="00BA01DB">
      <w:pPr>
        <w:pStyle w:val="a-0000"/>
        <w:rPr>
          <w:rFonts w:ascii="Calibri" w:hAnsi="Calibri" w:cs="Calibri"/>
          <w:sz w:val="22"/>
          <w:szCs w:val="22"/>
        </w:rPr>
      </w:pPr>
      <w:r w:rsidRPr="00611375">
        <w:rPr>
          <w:rFonts w:ascii="Calibri" w:hAnsi="Calibri" w:cs="Calibri"/>
          <w:sz w:val="22"/>
          <w:szCs w:val="22"/>
        </w:rPr>
        <w:tab/>
        <w:t>(c)</w:t>
      </w:r>
      <w:r w:rsidRPr="00611375">
        <w:rPr>
          <w:rFonts w:ascii="Calibri" w:hAnsi="Calibri" w:cs="Calibri"/>
          <w:sz w:val="22"/>
          <w:szCs w:val="22"/>
        </w:rPr>
        <w:tab/>
        <w:t>Each applicant issuer indemnifies the JSE and holds the JSE harmless against all and any loss (direct, indirect or consequential), liability, action, suit, proceeding, cost, demand and damage of all and every kind or nature, directly or indirectly arising from reliance on or receipt or use of the service or from the provision of the service (or its failure) as well as, but not limited to, the circumstances set out above, save when such loss, liability, action, suit, proceeding, cost, demand or damage is directly attributable to the JSE’s own wilful default or gross negligence.</w:t>
      </w:r>
    </w:p>
    <w:p w14:paraId="5EF8B049"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Copyright</w:t>
      </w:r>
    </w:p>
    <w:p w14:paraId="058FCF0B" w14:textId="3177BB61" w:rsidR="00BA01DB" w:rsidRPr="00611375" w:rsidRDefault="00BA01DB" w:rsidP="00BA01DB">
      <w:pPr>
        <w:pStyle w:val="0000"/>
        <w:rPr>
          <w:rFonts w:ascii="Calibri" w:hAnsi="Calibri" w:cs="Calibri"/>
          <w:sz w:val="22"/>
          <w:szCs w:val="22"/>
        </w:rPr>
      </w:pPr>
      <w:r w:rsidRPr="00611375">
        <w:rPr>
          <w:rFonts w:ascii="Calibri" w:hAnsi="Calibri" w:cs="Calibri"/>
          <w:sz w:val="22"/>
          <w:szCs w:val="22"/>
        </w:rPr>
        <w:t>9.1</w:t>
      </w:r>
      <w:r w:rsidRPr="00611375">
        <w:rPr>
          <w:rFonts w:ascii="Calibri" w:hAnsi="Calibri" w:cs="Calibri"/>
          <w:sz w:val="22"/>
          <w:szCs w:val="22"/>
        </w:rPr>
        <w:tab/>
        <w:t xml:space="preserve">Any person that submits relevant company information to SENS for publication is deemed to </w:t>
      </w:r>
      <w:r w:rsidRPr="00611375">
        <w:rPr>
          <w:rFonts w:ascii="Calibri" w:hAnsi="Calibri" w:cs="Calibri"/>
          <w:sz w:val="22"/>
          <w:szCs w:val="22"/>
        </w:rPr>
        <w:lastRenderedPageBreak/>
        <w:t>warrant to the JSE that it is the owner of the copyright and other intellectual property rights in such information (“the rights”) or, if it is not the owner of such rights, that it has submitted such information with the owner’s consent. The owner shall, in submitting or causing such information to be submitted to SENS, be deemed to have licensed the JSE to disseminate such information through SENS and the JSE shall, accordingly, not infringe any of the owner’s rights by so doing.</w:t>
      </w:r>
    </w:p>
    <w:p w14:paraId="79068966" w14:textId="77777777" w:rsidR="00BA01DB" w:rsidRPr="00611375" w:rsidRDefault="00BA01DB" w:rsidP="00BA01DB">
      <w:pPr>
        <w:pStyle w:val="parafullout"/>
        <w:rPr>
          <w:rFonts w:ascii="Calibri" w:hAnsi="Calibri" w:cs="Calibri"/>
          <w:b/>
          <w:sz w:val="22"/>
          <w:szCs w:val="22"/>
        </w:rPr>
      </w:pPr>
      <w:r w:rsidRPr="00611375">
        <w:rPr>
          <w:rFonts w:ascii="Calibri" w:hAnsi="Calibri" w:cs="Calibri"/>
          <w:b/>
          <w:sz w:val="22"/>
          <w:szCs w:val="22"/>
        </w:rPr>
        <w:t>Address and contact numbers</w:t>
      </w:r>
    </w:p>
    <w:p w14:paraId="0AD1F4EF" w14:textId="42F6FB45" w:rsidR="00BA01DB" w:rsidRPr="00611375" w:rsidRDefault="00BA01DB" w:rsidP="00BA01DB">
      <w:pPr>
        <w:pStyle w:val="0000"/>
        <w:tabs>
          <w:tab w:val="left" w:pos="2552"/>
        </w:tabs>
        <w:rPr>
          <w:rFonts w:ascii="Calibri" w:hAnsi="Calibri" w:cs="Calibri"/>
          <w:sz w:val="22"/>
          <w:szCs w:val="22"/>
        </w:rPr>
      </w:pPr>
      <w:r w:rsidRPr="00611375">
        <w:rPr>
          <w:rFonts w:ascii="Calibri" w:hAnsi="Calibri" w:cs="Calibri"/>
          <w:sz w:val="22"/>
          <w:szCs w:val="22"/>
        </w:rPr>
        <w:t>9.1</w:t>
      </w:r>
      <w:r w:rsidR="007D1EA6">
        <w:rPr>
          <w:rFonts w:ascii="Calibri" w:hAnsi="Calibri" w:cs="Calibri"/>
          <w:sz w:val="22"/>
          <w:szCs w:val="22"/>
        </w:rPr>
        <w:t>3</w:t>
      </w:r>
      <w:r w:rsidRPr="00611375">
        <w:rPr>
          <w:rFonts w:ascii="Calibri" w:hAnsi="Calibri" w:cs="Calibri"/>
          <w:sz w:val="22"/>
          <w:szCs w:val="22"/>
        </w:rPr>
        <w:tab/>
        <w:t>Address:</w:t>
      </w:r>
      <w:r w:rsidRPr="00611375">
        <w:rPr>
          <w:rFonts w:ascii="Calibri" w:hAnsi="Calibri" w:cs="Calibri"/>
          <w:sz w:val="22"/>
          <w:szCs w:val="22"/>
        </w:rPr>
        <w:tab/>
        <w:t>Stock Exchange News Service (SENS)</w:t>
      </w:r>
    </w:p>
    <w:p w14:paraId="33AE3770" w14:textId="77777777" w:rsidR="00BA01DB" w:rsidRPr="00611375" w:rsidRDefault="00BA01DB" w:rsidP="00BA01DB">
      <w:pPr>
        <w:pStyle w:val="parafullout"/>
        <w:tabs>
          <w:tab w:val="left" w:pos="794"/>
          <w:tab w:val="left" w:pos="2552"/>
        </w:tabs>
        <w:spacing w:before="0"/>
        <w:ind w:left="2552" w:hanging="2552"/>
        <w:jc w:val="left"/>
        <w:rPr>
          <w:rFonts w:ascii="Calibri" w:hAnsi="Calibri" w:cs="Calibri"/>
          <w:sz w:val="22"/>
          <w:szCs w:val="22"/>
        </w:rPr>
      </w:pPr>
      <w:r w:rsidRPr="00611375">
        <w:rPr>
          <w:rFonts w:ascii="Calibri" w:hAnsi="Calibri" w:cs="Calibri"/>
          <w:sz w:val="22"/>
          <w:szCs w:val="22"/>
        </w:rPr>
        <w:tab/>
      </w:r>
      <w:r w:rsidRPr="00611375">
        <w:rPr>
          <w:rFonts w:ascii="Calibri" w:hAnsi="Calibri" w:cs="Calibri"/>
          <w:sz w:val="22"/>
          <w:szCs w:val="22"/>
        </w:rPr>
        <w:tab/>
        <w:t>8th Floor</w:t>
      </w:r>
      <w:r w:rsidRPr="00611375">
        <w:rPr>
          <w:rFonts w:ascii="Calibri" w:hAnsi="Calibri" w:cs="Calibri"/>
          <w:sz w:val="22"/>
          <w:szCs w:val="22"/>
        </w:rPr>
        <w:br/>
        <w:t>JSE Limited</w:t>
      </w:r>
      <w:r w:rsidRPr="00611375">
        <w:rPr>
          <w:rFonts w:ascii="Calibri" w:hAnsi="Calibri" w:cs="Calibri"/>
          <w:sz w:val="22"/>
          <w:szCs w:val="22"/>
        </w:rPr>
        <w:br/>
        <w:t>One Exchange Square</w:t>
      </w:r>
    </w:p>
    <w:p w14:paraId="3D918985" w14:textId="77777777" w:rsidR="00BA01DB" w:rsidRPr="00611375" w:rsidRDefault="00BA01DB" w:rsidP="00BA01DB">
      <w:pPr>
        <w:pStyle w:val="parafullout"/>
        <w:tabs>
          <w:tab w:val="left" w:pos="794"/>
          <w:tab w:val="left" w:pos="2552"/>
        </w:tabs>
        <w:spacing w:before="0"/>
        <w:ind w:left="2552" w:hanging="2552"/>
        <w:jc w:val="left"/>
        <w:rPr>
          <w:rFonts w:ascii="Calibri" w:hAnsi="Calibri" w:cs="Calibri"/>
          <w:sz w:val="22"/>
          <w:szCs w:val="22"/>
        </w:rPr>
      </w:pPr>
      <w:r w:rsidRPr="00611375">
        <w:rPr>
          <w:rFonts w:ascii="Calibri" w:hAnsi="Calibri" w:cs="Calibri"/>
          <w:sz w:val="22"/>
          <w:szCs w:val="22"/>
        </w:rPr>
        <w:tab/>
      </w:r>
      <w:r w:rsidRPr="00611375">
        <w:rPr>
          <w:rFonts w:ascii="Calibri" w:hAnsi="Calibri" w:cs="Calibri"/>
          <w:sz w:val="22"/>
          <w:szCs w:val="22"/>
        </w:rPr>
        <w:tab/>
        <w:t>2 Gwen Lane</w:t>
      </w:r>
    </w:p>
    <w:p w14:paraId="1355983F" w14:textId="77777777" w:rsidR="00BA01DB" w:rsidRPr="00611375" w:rsidRDefault="00BA01DB" w:rsidP="00BA01DB">
      <w:pPr>
        <w:pStyle w:val="parafullout"/>
        <w:tabs>
          <w:tab w:val="left" w:pos="794"/>
          <w:tab w:val="left" w:pos="2552"/>
        </w:tabs>
        <w:spacing w:before="0"/>
        <w:ind w:left="2552" w:hanging="2552"/>
        <w:jc w:val="left"/>
        <w:rPr>
          <w:rFonts w:ascii="Calibri" w:hAnsi="Calibri" w:cs="Calibri"/>
          <w:sz w:val="22"/>
          <w:szCs w:val="22"/>
        </w:rPr>
      </w:pPr>
      <w:r w:rsidRPr="00611375">
        <w:rPr>
          <w:rFonts w:ascii="Calibri" w:hAnsi="Calibri" w:cs="Calibri"/>
          <w:sz w:val="22"/>
          <w:szCs w:val="22"/>
        </w:rPr>
        <w:tab/>
      </w:r>
      <w:r w:rsidRPr="00611375">
        <w:rPr>
          <w:rFonts w:ascii="Calibri" w:hAnsi="Calibri" w:cs="Calibri"/>
          <w:sz w:val="22"/>
          <w:szCs w:val="22"/>
        </w:rPr>
        <w:tab/>
        <w:t>Sandown</w:t>
      </w:r>
    </w:p>
    <w:p w14:paraId="55BE7610" w14:textId="77777777" w:rsidR="00BA01DB" w:rsidRPr="00611375" w:rsidRDefault="00BA01DB" w:rsidP="00BA01DB">
      <w:pPr>
        <w:pStyle w:val="parafullout"/>
        <w:tabs>
          <w:tab w:val="left" w:pos="794"/>
          <w:tab w:val="left" w:pos="2552"/>
        </w:tabs>
        <w:spacing w:before="0"/>
        <w:ind w:left="2552" w:hanging="2552"/>
        <w:jc w:val="left"/>
        <w:rPr>
          <w:rFonts w:ascii="Calibri" w:hAnsi="Calibri" w:cs="Calibri"/>
          <w:sz w:val="22"/>
          <w:szCs w:val="22"/>
        </w:rPr>
      </w:pPr>
      <w:r w:rsidRPr="00611375">
        <w:rPr>
          <w:rFonts w:ascii="Calibri" w:hAnsi="Calibri" w:cs="Calibri"/>
          <w:sz w:val="22"/>
          <w:szCs w:val="22"/>
        </w:rPr>
        <w:t>Telephone no.:</w:t>
      </w:r>
      <w:r w:rsidRPr="00611375">
        <w:rPr>
          <w:rFonts w:ascii="Calibri" w:hAnsi="Calibri" w:cs="Calibri"/>
          <w:sz w:val="22"/>
          <w:szCs w:val="22"/>
        </w:rPr>
        <w:tab/>
        <w:t>(011) 520 7155</w:t>
      </w:r>
    </w:p>
    <w:p w14:paraId="06C4211A" w14:textId="77777777" w:rsidR="00BA01DB" w:rsidRPr="00611375" w:rsidRDefault="00BA01DB" w:rsidP="00BA01DB">
      <w:pPr>
        <w:pStyle w:val="parafullout"/>
        <w:tabs>
          <w:tab w:val="left" w:pos="794"/>
          <w:tab w:val="left" w:pos="2552"/>
        </w:tabs>
        <w:spacing w:before="0"/>
        <w:ind w:left="2552" w:hanging="2552"/>
        <w:jc w:val="left"/>
        <w:rPr>
          <w:rFonts w:ascii="Calibri" w:hAnsi="Calibri" w:cs="Calibri"/>
          <w:sz w:val="22"/>
          <w:szCs w:val="22"/>
        </w:rPr>
      </w:pPr>
      <w:r w:rsidRPr="00611375">
        <w:rPr>
          <w:rFonts w:ascii="Calibri" w:hAnsi="Calibri" w:cs="Calibri"/>
          <w:sz w:val="22"/>
          <w:szCs w:val="22"/>
        </w:rPr>
        <w:t>Facsimile no.:</w:t>
      </w:r>
      <w:r w:rsidRPr="00611375">
        <w:rPr>
          <w:rFonts w:ascii="Calibri" w:hAnsi="Calibri" w:cs="Calibri"/>
          <w:sz w:val="22"/>
          <w:szCs w:val="22"/>
        </w:rPr>
        <w:tab/>
        <w:t>(011) 520 8595</w:t>
      </w:r>
    </w:p>
    <w:p w14:paraId="2D369B64" w14:textId="77777777" w:rsidR="00BA01DB" w:rsidRPr="00611375" w:rsidRDefault="00BA01DB" w:rsidP="00BA01DB">
      <w:pPr>
        <w:pStyle w:val="parafullout"/>
        <w:tabs>
          <w:tab w:val="left" w:pos="794"/>
          <w:tab w:val="left" w:pos="2552"/>
        </w:tabs>
        <w:ind w:left="2552" w:hanging="2552"/>
        <w:jc w:val="left"/>
        <w:rPr>
          <w:rFonts w:ascii="Calibri" w:hAnsi="Calibri" w:cs="Calibri"/>
          <w:sz w:val="22"/>
          <w:szCs w:val="22"/>
        </w:rPr>
      </w:pPr>
      <w:r w:rsidRPr="00611375">
        <w:rPr>
          <w:rFonts w:ascii="Calibri" w:hAnsi="Calibri" w:cs="Calibri"/>
          <w:sz w:val="22"/>
          <w:szCs w:val="22"/>
        </w:rPr>
        <w:t>Website:</w:t>
      </w:r>
      <w:r w:rsidRPr="00611375">
        <w:rPr>
          <w:rFonts w:ascii="Calibri" w:hAnsi="Calibri" w:cs="Calibri"/>
          <w:sz w:val="22"/>
          <w:szCs w:val="22"/>
        </w:rPr>
        <w:tab/>
        <w:t>www.jse.co.za</w:t>
      </w:r>
    </w:p>
    <w:p w14:paraId="62BB9E03" w14:textId="77777777" w:rsidR="00DB0FDB" w:rsidRPr="00611375" w:rsidRDefault="00DB0FDB">
      <w:pPr>
        <w:rPr>
          <w:rFonts w:ascii="Calibri" w:hAnsi="Calibri" w:cs="Calibri"/>
          <w:sz w:val="22"/>
          <w:szCs w:val="22"/>
        </w:rPr>
      </w:pPr>
    </w:p>
    <w:sectPr w:rsidR="00DB0FDB" w:rsidRPr="00611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4FAC" w14:textId="77777777" w:rsidR="00BA01DB" w:rsidRDefault="00BA01DB" w:rsidP="00BA01DB">
      <w:pPr>
        <w:spacing w:before="0"/>
      </w:pPr>
      <w:r>
        <w:separator/>
      </w:r>
    </w:p>
  </w:endnote>
  <w:endnote w:type="continuationSeparator" w:id="0">
    <w:p w14:paraId="6C9A3AAC" w14:textId="77777777" w:rsidR="00BA01DB" w:rsidRDefault="00BA01DB" w:rsidP="00BA01D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AC2D" w14:textId="77777777" w:rsidR="00BA01DB" w:rsidRDefault="00BA01DB" w:rsidP="00BA01DB">
      <w:pPr>
        <w:spacing w:before="0"/>
      </w:pPr>
      <w:r>
        <w:separator/>
      </w:r>
    </w:p>
  </w:footnote>
  <w:footnote w:type="continuationSeparator" w:id="0">
    <w:p w14:paraId="24E84D0E" w14:textId="77777777" w:rsidR="00BA01DB" w:rsidRDefault="00BA01DB" w:rsidP="00BA01DB">
      <w:pPr>
        <w:spacing w:before="0"/>
      </w:pPr>
      <w:r>
        <w:continuationSeparator/>
      </w:r>
    </w:p>
  </w:footnote>
  <w:footnote w:id="1">
    <w:p w14:paraId="0B87B131" w14:textId="27123E5C" w:rsidR="00BA01DB" w:rsidRPr="008D4325" w:rsidRDefault="00BA01DB" w:rsidP="00BA01DB">
      <w:pPr>
        <w:pStyle w:val="footnotes"/>
      </w:pPr>
    </w:p>
  </w:footnote>
  <w:footnote w:id="2">
    <w:p w14:paraId="6FA56802" w14:textId="042E8698" w:rsidR="00BA01DB" w:rsidRPr="008D4325" w:rsidRDefault="00BA01DB" w:rsidP="00BA01DB">
      <w:pPr>
        <w:pStyle w:val="footnote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DB"/>
    <w:rsid w:val="00007D2C"/>
    <w:rsid w:val="00037EA9"/>
    <w:rsid w:val="00053E00"/>
    <w:rsid w:val="00063375"/>
    <w:rsid w:val="00092466"/>
    <w:rsid w:val="000A0163"/>
    <w:rsid w:val="000A575E"/>
    <w:rsid w:val="000C717A"/>
    <w:rsid w:val="000D5551"/>
    <w:rsid w:val="00166526"/>
    <w:rsid w:val="00170F61"/>
    <w:rsid w:val="001B4778"/>
    <w:rsid w:val="001C3232"/>
    <w:rsid w:val="00200D73"/>
    <w:rsid w:val="002870AD"/>
    <w:rsid w:val="002A1509"/>
    <w:rsid w:val="003306CB"/>
    <w:rsid w:val="00356D0C"/>
    <w:rsid w:val="003F07A3"/>
    <w:rsid w:val="00410162"/>
    <w:rsid w:val="00420C50"/>
    <w:rsid w:val="004355D4"/>
    <w:rsid w:val="00443AE7"/>
    <w:rsid w:val="004B615E"/>
    <w:rsid w:val="004B7861"/>
    <w:rsid w:val="004C11F4"/>
    <w:rsid w:val="0051546D"/>
    <w:rsid w:val="0052739B"/>
    <w:rsid w:val="005832E9"/>
    <w:rsid w:val="0060792D"/>
    <w:rsid w:val="00611375"/>
    <w:rsid w:val="00664B39"/>
    <w:rsid w:val="00673444"/>
    <w:rsid w:val="006E74F3"/>
    <w:rsid w:val="0070506B"/>
    <w:rsid w:val="00736F10"/>
    <w:rsid w:val="007553B0"/>
    <w:rsid w:val="007659FF"/>
    <w:rsid w:val="00766624"/>
    <w:rsid w:val="00775948"/>
    <w:rsid w:val="00791953"/>
    <w:rsid w:val="007B15D5"/>
    <w:rsid w:val="007B5B0F"/>
    <w:rsid w:val="007D1EA6"/>
    <w:rsid w:val="0086573C"/>
    <w:rsid w:val="008671A4"/>
    <w:rsid w:val="008675D7"/>
    <w:rsid w:val="00867E23"/>
    <w:rsid w:val="00867EF9"/>
    <w:rsid w:val="0087760F"/>
    <w:rsid w:val="00882CB2"/>
    <w:rsid w:val="00886D38"/>
    <w:rsid w:val="008A5963"/>
    <w:rsid w:val="008F3AF9"/>
    <w:rsid w:val="00953E48"/>
    <w:rsid w:val="00957276"/>
    <w:rsid w:val="009645DD"/>
    <w:rsid w:val="009A4BF6"/>
    <w:rsid w:val="009C5AFB"/>
    <w:rsid w:val="009F2340"/>
    <w:rsid w:val="00A144E4"/>
    <w:rsid w:val="00A21854"/>
    <w:rsid w:val="00A310B4"/>
    <w:rsid w:val="00A51438"/>
    <w:rsid w:val="00A5277C"/>
    <w:rsid w:val="00A8576F"/>
    <w:rsid w:val="00AA5A8C"/>
    <w:rsid w:val="00AA61D4"/>
    <w:rsid w:val="00B1665D"/>
    <w:rsid w:val="00B61896"/>
    <w:rsid w:val="00BA01DB"/>
    <w:rsid w:val="00BA5944"/>
    <w:rsid w:val="00BB2B05"/>
    <w:rsid w:val="00BB4F64"/>
    <w:rsid w:val="00BE0489"/>
    <w:rsid w:val="00BF62FA"/>
    <w:rsid w:val="00C275C5"/>
    <w:rsid w:val="00C51791"/>
    <w:rsid w:val="00CA6B46"/>
    <w:rsid w:val="00CB7EF1"/>
    <w:rsid w:val="00CD0185"/>
    <w:rsid w:val="00D1204F"/>
    <w:rsid w:val="00D30442"/>
    <w:rsid w:val="00D6505E"/>
    <w:rsid w:val="00D764A2"/>
    <w:rsid w:val="00DA31A7"/>
    <w:rsid w:val="00DB0FDB"/>
    <w:rsid w:val="00DE2A9B"/>
    <w:rsid w:val="00DF7973"/>
    <w:rsid w:val="00E04A9A"/>
    <w:rsid w:val="00E117DC"/>
    <w:rsid w:val="00E12415"/>
    <w:rsid w:val="00E22A5A"/>
    <w:rsid w:val="00E30981"/>
    <w:rsid w:val="00E52C4A"/>
    <w:rsid w:val="00EE0ED7"/>
    <w:rsid w:val="00EF5ACD"/>
    <w:rsid w:val="00F00465"/>
    <w:rsid w:val="00F228EA"/>
    <w:rsid w:val="00F37664"/>
    <w:rsid w:val="00F824A0"/>
    <w:rsid w:val="00FB25CE"/>
    <w:rsid w:val="00FB2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5F86"/>
  <w15:chartTrackingRefBased/>
  <w15:docId w15:val="{AC11CB35-6321-48B3-8757-A9E5C874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DB"/>
    <w:pPr>
      <w:widowControl w:val="0"/>
      <w:spacing w:before="180" w:after="0" w:line="240" w:lineRule="auto"/>
      <w:jc w:val="both"/>
    </w:pPr>
    <w:rPr>
      <w:rFonts w:ascii="Verdana" w:eastAsia="Times New Roman" w:hAnsi="Verdana" w:cs="Times New Roman"/>
      <w:kern w:val="0"/>
      <w:sz w:val="18"/>
      <w:szCs w:val="20"/>
      <w:lang w:val="en-GB"/>
      <w14:ligatures w14:val="none"/>
    </w:rPr>
  </w:style>
  <w:style w:type="paragraph" w:styleId="Heading1">
    <w:name w:val="heading 1"/>
    <w:basedOn w:val="Normal"/>
    <w:next w:val="Normal"/>
    <w:link w:val="Heading1Char"/>
    <w:uiPriority w:val="9"/>
    <w:qFormat/>
    <w:rsid w:val="00BA0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DB"/>
    <w:rPr>
      <w:rFonts w:eastAsiaTheme="majorEastAsia" w:cstheme="majorBidi"/>
      <w:color w:val="272727" w:themeColor="text1" w:themeTint="D8"/>
    </w:rPr>
  </w:style>
  <w:style w:type="paragraph" w:styleId="Title">
    <w:name w:val="Title"/>
    <w:basedOn w:val="Normal"/>
    <w:next w:val="Normal"/>
    <w:link w:val="TitleChar"/>
    <w:uiPriority w:val="10"/>
    <w:qFormat/>
    <w:rsid w:val="00BA01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DB"/>
    <w:pPr>
      <w:spacing w:before="160"/>
      <w:jc w:val="center"/>
    </w:pPr>
    <w:rPr>
      <w:i/>
      <w:iCs/>
      <w:color w:val="404040" w:themeColor="text1" w:themeTint="BF"/>
    </w:rPr>
  </w:style>
  <w:style w:type="character" w:customStyle="1" w:styleId="QuoteChar">
    <w:name w:val="Quote Char"/>
    <w:basedOn w:val="DefaultParagraphFont"/>
    <w:link w:val="Quote"/>
    <w:uiPriority w:val="29"/>
    <w:rsid w:val="00BA01DB"/>
    <w:rPr>
      <w:i/>
      <w:iCs/>
      <w:color w:val="404040" w:themeColor="text1" w:themeTint="BF"/>
    </w:rPr>
  </w:style>
  <w:style w:type="paragraph" w:styleId="ListParagraph">
    <w:name w:val="List Paragraph"/>
    <w:basedOn w:val="Normal"/>
    <w:uiPriority w:val="34"/>
    <w:qFormat/>
    <w:rsid w:val="00BA01DB"/>
    <w:pPr>
      <w:ind w:left="720"/>
      <w:contextualSpacing/>
    </w:pPr>
  </w:style>
  <w:style w:type="character" w:styleId="IntenseEmphasis">
    <w:name w:val="Intense Emphasis"/>
    <w:basedOn w:val="DefaultParagraphFont"/>
    <w:uiPriority w:val="21"/>
    <w:qFormat/>
    <w:rsid w:val="00BA01DB"/>
    <w:rPr>
      <w:i/>
      <w:iCs/>
      <w:color w:val="0F4761" w:themeColor="accent1" w:themeShade="BF"/>
    </w:rPr>
  </w:style>
  <w:style w:type="paragraph" w:styleId="IntenseQuote">
    <w:name w:val="Intense Quote"/>
    <w:basedOn w:val="Normal"/>
    <w:next w:val="Normal"/>
    <w:link w:val="IntenseQuoteChar"/>
    <w:uiPriority w:val="30"/>
    <w:qFormat/>
    <w:rsid w:val="00BA0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DB"/>
    <w:rPr>
      <w:i/>
      <w:iCs/>
      <w:color w:val="0F4761" w:themeColor="accent1" w:themeShade="BF"/>
    </w:rPr>
  </w:style>
  <w:style w:type="character" w:styleId="IntenseReference">
    <w:name w:val="Intense Reference"/>
    <w:basedOn w:val="DefaultParagraphFont"/>
    <w:uiPriority w:val="32"/>
    <w:qFormat/>
    <w:rsid w:val="00BA01DB"/>
    <w:rPr>
      <w:b/>
      <w:bCs/>
      <w:smallCaps/>
      <w:color w:val="0F4761" w:themeColor="accent1" w:themeShade="BF"/>
      <w:spacing w:val="5"/>
    </w:rPr>
  </w:style>
  <w:style w:type="paragraph" w:customStyle="1" w:styleId="head1">
    <w:name w:val="head1"/>
    <w:basedOn w:val="Normal"/>
    <w:rsid w:val="00BA01DB"/>
    <w:pPr>
      <w:spacing w:before="360"/>
      <w:jc w:val="left"/>
    </w:pPr>
    <w:rPr>
      <w:b/>
    </w:rPr>
  </w:style>
  <w:style w:type="paragraph" w:customStyle="1" w:styleId="tabletext">
    <w:name w:val="tabletext"/>
    <w:basedOn w:val="Normal"/>
    <w:rsid w:val="00BA01DB"/>
    <w:pPr>
      <w:spacing w:before="0"/>
      <w:jc w:val="left"/>
    </w:pPr>
    <w:rPr>
      <w:sz w:val="16"/>
    </w:rPr>
  </w:style>
  <w:style w:type="paragraph" w:customStyle="1" w:styleId="i-000a">
    <w:name w:val="(i)-0.00(a)"/>
    <w:basedOn w:val="Normal"/>
    <w:rsid w:val="00BA01DB"/>
    <w:pPr>
      <w:tabs>
        <w:tab w:val="right" w:pos="1758"/>
        <w:tab w:val="left" w:pos="1928"/>
      </w:tabs>
      <w:ind w:left="1928" w:hanging="1928"/>
    </w:pPr>
  </w:style>
  <w:style w:type="paragraph" w:customStyle="1" w:styleId="0000">
    <w:name w:val="00.00"/>
    <w:basedOn w:val="Normal"/>
    <w:rsid w:val="00BA01DB"/>
    <w:pPr>
      <w:tabs>
        <w:tab w:val="left" w:pos="794"/>
      </w:tabs>
      <w:ind w:left="794" w:hanging="794"/>
    </w:pPr>
  </w:style>
  <w:style w:type="paragraph" w:customStyle="1" w:styleId="a-0000">
    <w:name w:val="(a)-00.00"/>
    <w:basedOn w:val="Normal"/>
    <w:rsid w:val="00BA01DB"/>
    <w:pPr>
      <w:tabs>
        <w:tab w:val="left" w:pos="794"/>
        <w:tab w:val="left" w:pos="1304"/>
      </w:tabs>
      <w:ind w:left="1304" w:hanging="1304"/>
    </w:pPr>
  </w:style>
  <w:style w:type="paragraph" w:customStyle="1" w:styleId="parafullout">
    <w:name w:val="parafullout"/>
    <w:basedOn w:val="Normal"/>
    <w:rsid w:val="00BA01DB"/>
  </w:style>
  <w:style w:type="paragraph" w:customStyle="1" w:styleId="footnotes">
    <w:name w:val="footnotes"/>
    <w:basedOn w:val="Normal"/>
    <w:rsid w:val="00BA01DB"/>
    <w:pPr>
      <w:widowControl/>
      <w:tabs>
        <w:tab w:val="left" w:pos="340"/>
      </w:tabs>
      <w:spacing w:before="0"/>
      <w:ind w:left="340" w:hanging="340"/>
    </w:pPr>
    <w:rPr>
      <w:sz w:val="16"/>
    </w:rPr>
  </w:style>
  <w:style w:type="character" w:styleId="FootnoteReference">
    <w:name w:val="footnote reference"/>
    <w:semiHidden/>
    <w:rsid w:val="00BA01DB"/>
    <w:rPr>
      <w:vertAlign w:val="superscript"/>
    </w:rPr>
  </w:style>
  <w:style w:type="paragraph" w:styleId="Revision">
    <w:name w:val="Revision"/>
    <w:hidden/>
    <w:uiPriority w:val="99"/>
    <w:semiHidden/>
    <w:rsid w:val="00673444"/>
    <w:pPr>
      <w:spacing w:after="0" w:line="240" w:lineRule="auto"/>
    </w:pPr>
    <w:rPr>
      <w:rFonts w:ascii="Verdana" w:eastAsia="Times New Roman" w:hAnsi="Verdana" w:cs="Times New Roman"/>
      <w:kern w:val="0"/>
      <w:sz w:val="18"/>
      <w:szCs w:val="20"/>
      <w:lang w:val="en-GB"/>
      <w14:ligatures w14:val="none"/>
    </w:rPr>
  </w:style>
  <w:style w:type="table" w:styleId="TableGrid">
    <w:name w:val="Table Grid"/>
    <w:basedOn w:val="TableNormal"/>
    <w:uiPriority w:val="39"/>
    <w:rsid w:val="00200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1216</Words>
  <Characters>7578</Characters>
  <Application>Microsoft Office Word</Application>
  <DocSecurity>0</DocSecurity>
  <Lines>473</Lines>
  <Paragraphs>418</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16</cp:revision>
  <dcterms:created xsi:type="dcterms:W3CDTF">2024-07-20T08:34:00Z</dcterms:created>
  <dcterms:modified xsi:type="dcterms:W3CDTF">2026-01-23T12:56:00Z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2024-07-20T08:35:32Z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5884d743-110f-4a1b-8241-8154e4de9094</vt:lpwstr>
  </property>
  <property fmtid="{D5CDD505-2E9C-101B-9397-08002B2CF9AE}" pid="8" name="MSIP_Label_ce93fc94-2a04-4870-acee-9c0cd4b7d590_ContentBits">
    <vt:lpwstr>0</vt:lpwstr>
  </property>
</Properties>
</file>