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14" w:type="dxa"/>
        <w:tblInd w:w="-5" w:type="dxa"/>
        <w:tblLook w:val="04A0" w:firstRow="1" w:lastRow="0" w:firstColumn="1" w:lastColumn="0" w:noHBand="0" w:noVBand="1"/>
      </w:tblPr>
      <w:tblGrid>
        <w:gridCol w:w="9214"/>
      </w:tblGrid>
      <w:tr w:rsidR="001D3452" w:rsidRPr="00A5485A" w14:paraId="354F9818" w14:textId="77777777" w:rsidTr="00A26683">
        <w:tc>
          <w:tcPr>
            <w:tcW w:w="9214" w:type="dxa"/>
            <w:shd w:val="clear" w:color="auto" w:fill="92D050"/>
          </w:tcPr>
          <w:p w14:paraId="712A7A40" w14:textId="77777777" w:rsidR="001D3452" w:rsidRDefault="001D3452" w:rsidP="00A26683">
            <w:pPr>
              <w:rPr>
                <w:rFonts w:ascii="Calibri" w:hAnsi="Calibri" w:cs="Calibri"/>
                <w:b/>
                <w:bCs/>
              </w:rPr>
            </w:pPr>
            <w:r w:rsidRPr="00A5485A">
              <w:rPr>
                <w:rFonts w:ascii="Calibri" w:hAnsi="Calibri" w:cs="Calibri"/>
                <w:b/>
                <w:bCs/>
              </w:rPr>
              <w:t>Form C4: Statutory Declaration</w:t>
            </w:r>
          </w:p>
          <w:p w14:paraId="28905149" w14:textId="77777777" w:rsidR="006A6A59" w:rsidRDefault="006A6A59" w:rsidP="00A26683">
            <w:pPr>
              <w:rPr>
                <w:rFonts w:ascii="Calibri" w:hAnsi="Calibri" w:cs="Calibri"/>
                <w:b/>
                <w:bCs/>
              </w:rPr>
            </w:pPr>
          </w:p>
          <w:p w14:paraId="27B7128E" w14:textId="63973661" w:rsidR="006A6A59" w:rsidRPr="006A6A59" w:rsidRDefault="006A6A59" w:rsidP="00A26683">
            <w:pPr>
              <w:rPr>
                <w:rFonts w:ascii="Calibri" w:hAnsi="Calibri" w:cs="Calibri"/>
                <w:b/>
                <w:bCs/>
                <w:i/>
                <w:iCs/>
              </w:rPr>
            </w:pPr>
            <w:r w:rsidRPr="006A6A59">
              <w:rPr>
                <w:rFonts w:ascii="Calibri" w:hAnsi="Calibri" w:cs="Calibri"/>
                <w:b/>
                <w:bCs/>
                <w:i/>
                <w:iCs/>
              </w:rPr>
              <w:t>Previous Schedule 4</w:t>
            </w:r>
          </w:p>
        </w:tc>
      </w:tr>
    </w:tbl>
    <w:p w14:paraId="76A94B4C" w14:textId="77777777" w:rsidR="00C652E6" w:rsidRPr="00A5485A" w:rsidRDefault="00C652E6" w:rsidP="00C652E6">
      <w:pPr>
        <w:pStyle w:val="parafullout"/>
        <w:rPr>
          <w:rFonts w:ascii="Calibri" w:hAnsi="Calibri" w:cs="Calibri"/>
          <w:sz w:val="22"/>
          <w:szCs w:val="22"/>
        </w:rPr>
      </w:pPr>
      <w:r w:rsidRPr="00A5485A">
        <w:rPr>
          <w:rFonts w:ascii="Calibri" w:hAnsi="Calibri" w:cs="Calibri"/>
          <w:sz w:val="22"/>
          <w:szCs w:val="22"/>
        </w:rPr>
        <w:t>A sworn declaration must be made by the chairman and company secretary stating, to the best of their knowledge, judgement and belief, arrived at after due and careful enquiry, where applicable, the following particulars:</w:t>
      </w:r>
      <w:r w:rsidRPr="00A5485A">
        <w:rPr>
          <w:rStyle w:val="FootnoteReference"/>
          <w:rFonts w:ascii="Calibri" w:hAnsi="Calibri" w:cs="Calibri"/>
          <w:sz w:val="22"/>
          <w:szCs w:val="22"/>
        </w:rPr>
        <w:footnoteReference w:customMarkFollows="1" w:id="1"/>
        <w:t> </w:t>
      </w:r>
    </w:p>
    <w:p w14:paraId="57BA9F37" w14:textId="77777777" w:rsidR="00C652E6" w:rsidRPr="00A5485A" w:rsidRDefault="00C652E6" w:rsidP="00C652E6">
      <w:pPr>
        <w:pStyle w:val="000"/>
        <w:rPr>
          <w:rFonts w:ascii="Calibri" w:hAnsi="Calibri" w:cs="Calibri"/>
          <w:sz w:val="22"/>
          <w:szCs w:val="22"/>
        </w:rPr>
      </w:pPr>
      <w:r w:rsidRPr="00A5485A">
        <w:rPr>
          <w:rFonts w:ascii="Calibri" w:hAnsi="Calibri" w:cs="Calibri"/>
          <w:sz w:val="22"/>
          <w:szCs w:val="22"/>
        </w:rPr>
        <w:t>4.1</w:t>
      </w:r>
      <w:r w:rsidRPr="00A5485A">
        <w:rPr>
          <w:rFonts w:ascii="Calibri" w:hAnsi="Calibri" w:cs="Calibri"/>
          <w:sz w:val="22"/>
          <w:szCs w:val="22"/>
        </w:rPr>
        <w:tab/>
        <w:t>That all documents required by the Act have been duly filed with the Commission, and that all legal requirements have been fulfilled.</w:t>
      </w:r>
      <w:r w:rsidRPr="00A5485A">
        <w:rPr>
          <w:rStyle w:val="FootnoteReference"/>
          <w:rFonts w:ascii="Calibri" w:hAnsi="Calibri" w:cs="Calibri"/>
          <w:sz w:val="22"/>
          <w:szCs w:val="22"/>
        </w:rPr>
        <w:footnoteReference w:customMarkFollows="1" w:id="2"/>
        <w:t> </w:t>
      </w:r>
    </w:p>
    <w:p w14:paraId="2D7ADD85" w14:textId="77777777" w:rsidR="00C652E6" w:rsidRPr="00A5485A" w:rsidRDefault="00C652E6" w:rsidP="00C652E6">
      <w:pPr>
        <w:pStyle w:val="000"/>
        <w:rPr>
          <w:rFonts w:ascii="Calibri" w:hAnsi="Calibri" w:cs="Calibri"/>
          <w:sz w:val="22"/>
          <w:szCs w:val="22"/>
        </w:rPr>
      </w:pPr>
      <w:r w:rsidRPr="00A5485A">
        <w:rPr>
          <w:rFonts w:ascii="Calibri" w:hAnsi="Calibri" w:cs="Calibri"/>
          <w:sz w:val="22"/>
          <w:szCs w:val="22"/>
        </w:rPr>
        <w:t>4.2</w:t>
      </w:r>
      <w:r w:rsidRPr="00A5485A">
        <w:rPr>
          <w:rFonts w:ascii="Calibri" w:hAnsi="Calibri" w:cs="Calibri"/>
          <w:sz w:val="22"/>
          <w:szCs w:val="22"/>
        </w:rPr>
        <w:tab/>
        <w:t>That the minimum subscription has been received, if the issue was not fully underwritten.</w:t>
      </w:r>
    </w:p>
    <w:p w14:paraId="5D90F74E" w14:textId="77777777" w:rsidR="00C652E6" w:rsidRPr="00A5485A" w:rsidRDefault="00C652E6" w:rsidP="00C652E6">
      <w:pPr>
        <w:pStyle w:val="000"/>
        <w:rPr>
          <w:rFonts w:ascii="Calibri" w:hAnsi="Calibri" w:cs="Calibri"/>
          <w:sz w:val="22"/>
          <w:szCs w:val="22"/>
        </w:rPr>
      </w:pPr>
      <w:r w:rsidRPr="00A5485A">
        <w:rPr>
          <w:rFonts w:ascii="Calibri" w:hAnsi="Calibri" w:cs="Calibri"/>
          <w:sz w:val="22"/>
          <w:szCs w:val="22"/>
        </w:rPr>
        <w:t>4.3</w:t>
      </w:r>
      <w:r w:rsidRPr="00A5485A">
        <w:rPr>
          <w:rFonts w:ascii="Calibri" w:hAnsi="Calibri" w:cs="Calibri"/>
          <w:sz w:val="22"/>
          <w:szCs w:val="22"/>
        </w:rPr>
        <w:tab/>
        <w:t>The number of securities, or amount of stock or debentures applied for by the public.</w:t>
      </w:r>
    </w:p>
    <w:p w14:paraId="1D6C49D3" w14:textId="77777777" w:rsidR="00C652E6" w:rsidRPr="00A5485A" w:rsidRDefault="00C652E6" w:rsidP="00C652E6">
      <w:pPr>
        <w:pStyle w:val="000"/>
        <w:rPr>
          <w:rFonts w:ascii="Calibri" w:hAnsi="Calibri" w:cs="Calibri"/>
          <w:sz w:val="22"/>
          <w:szCs w:val="22"/>
        </w:rPr>
      </w:pPr>
      <w:r w:rsidRPr="00A5485A">
        <w:rPr>
          <w:rFonts w:ascii="Calibri" w:hAnsi="Calibri" w:cs="Calibri"/>
          <w:sz w:val="22"/>
          <w:szCs w:val="22"/>
        </w:rPr>
        <w:t>4.4</w:t>
      </w:r>
      <w:r w:rsidRPr="00A5485A">
        <w:rPr>
          <w:rFonts w:ascii="Calibri" w:hAnsi="Calibri" w:cs="Calibri"/>
          <w:sz w:val="22"/>
          <w:szCs w:val="22"/>
        </w:rPr>
        <w:tab/>
        <w:t>The number of securities, or amount of stock or debentures issued for cash to the public, stating the price of issue and the actual amount per share paid thereon in cash.</w:t>
      </w:r>
    </w:p>
    <w:p w14:paraId="5E58D900" w14:textId="77777777" w:rsidR="00C652E6" w:rsidRPr="00A5485A" w:rsidRDefault="00C652E6" w:rsidP="00C652E6">
      <w:pPr>
        <w:pStyle w:val="000"/>
        <w:rPr>
          <w:rFonts w:ascii="Calibri" w:hAnsi="Calibri" w:cs="Calibri"/>
          <w:sz w:val="22"/>
          <w:szCs w:val="22"/>
        </w:rPr>
      </w:pPr>
      <w:r w:rsidRPr="00A5485A">
        <w:rPr>
          <w:rFonts w:ascii="Calibri" w:hAnsi="Calibri" w:cs="Calibri"/>
          <w:sz w:val="22"/>
          <w:szCs w:val="22"/>
        </w:rPr>
        <w:t>4.5</w:t>
      </w:r>
      <w:r w:rsidRPr="00A5485A">
        <w:rPr>
          <w:rFonts w:ascii="Calibri" w:hAnsi="Calibri" w:cs="Calibri"/>
          <w:sz w:val="22"/>
          <w:szCs w:val="22"/>
        </w:rPr>
        <w:tab/>
        <w:t>The number of securities, or amount of stock or debentures allotted for a consideration other than cash.</w:t>
      </w:r>
    </w:p>
    <w:p w14:paraId="1189BB6E" w14:textId="77777777" w:rsidR="00C652E6" w:rsidRPr="00A5485A" w:rsidRDefault="00C652E6" w:rsidP="00C652E6">
      <w:pPr>
        <w:pStyle w:val="000"/>
        <w:rPr>
          <w:rFonts w:ascii="Calibri" w:hAnsi="Calibri" w:cs="Calibri"/>
          <w:sz w:val="22"/>
          <w:szCs w:val="22"/>
        </w:rPr>
      </w:pPr>
      <w:r w:rsidRPr="00A5485A">
        <w:rPr>
          <w:rFonts w:ascii="Calibri" w:hAnsi="Calibri" w:cs="Calibri"/>
          <w:sz w:val="22"/>
          <w:szCs w:val="22"/>
        </w:rPr>
        <w:t>4.6</w:t>
      </w:r>
      <w:r w:rsidRPr="00A5485A">
        <w:rPr>
          <w:rFonts w:ascii="Calibri" w:hAnsi="Calibri" w:cs="Calibri"/>
          <w:sz w:val="22"/>
          <w:szCs w:val="22"/>
        </w:rPr>
        <w:tab/>
        <w:t xml:space="preserve">That the certificates, or debentures or other documents in which it is desired to deal have been, or are ready, to be delivered, and that they are identical to the specimen approved by the JSE. </w:t>
      </w:r>
    </w:p>
    <w:p w14:paraId="6BE82A0C" w14:textId="77777777" w:rsidR="00C652E6" w:rsidRPr="00A5485A" w:rsidRDefault="00C652E6" w:rsidP="00C652E6">
      <w:pPr>
        <w:pStyle w:val="000"/>
        <w:rPr>
          <w:rFonts w:ascii="Calibri" w:hAnsi="Calibri" w:cs="Calibri"/>
          <w:sz w:val="22"/>
          <w:szCs w:val="22"/>
        </w:rPr>
      </w:pPr>
      <w:r w:rsidRPr="00A5485A">
        <w:rPr>
          <w:rFonts w:ascii="Calibri" w:hAnsi="Calibri" w:cs="Calibri"/>
          <w:sz w:val="22"/>
          <w:szCs w:val="22"/>
        </w:rPr>
        <w:t>4.7</w:t>
      </w:r>
      <w:r w:rsidRPr="00A5485A">
        <w:rPr>
          <w:rFonts w:ascii="Calibri" w:hAnsi="Calibri" w:cs="Calibri"/>
          <w:sz w:val="22"/>
          <w:szCs w:val="22"/>
        </w:rPr>
        <w:tab/>
        <w:t xml:space="preserve">That, where applicable, the purchase of any assets has been completed, their transfer registered into the name of the applicant issuer and the purchase consideration paid </w:t>
      </w:r>
      <w:proofErr w:type="gramStart"/>
      <w:r w:rsidRPr="00A5485A">
        <w:rPr>
          <w:rFonts w:ascii="Calibri" w:hAnsi="Calibri" w:cs="Calibri"/>
          <w:sz w:val="22"/>
          <w:szCs w:val="22"/>
        </w:rPr>
        <w:t>subsequent to</w:t>
      </w:r>
      <w:proofErr w:type="gramEnd"/>
      <w:r w:rsidRPr="00A5485A">
        <w:rPr>
          <w:rFonts w:ascii="Calibri" w:hAnsi="Calibri" w:cs="Calibri"/>
          <w:sz w:val="22"/>
          <w:szCs w:val="22"/>
        </w:rPr>
        <w:t xml:space="preserve"> registration of transfer. Where any such purchase has not been completed or registered, an undertaking that completion will be conditional upon registration.</w:t>
      </w:r>
    </w:p>
    <w:p w14:paraId="44A20C50" w14:textId="77777777" w:rsidR="00C652E6" w:rsidRPr="00A5485A" w:rsidRDefault="00C652E6" w:rsidP="00C652E6">
      <w:pPr>
        <w:pStyle w:val="000"/>
        <w:rPr>
          <w:rFonts w:ascii="Calibri" w:hAnsi="Calibri" w:cs="Calibri"/>
          <w:sz w:val="22"/>
          <w:szCs w:val="22"/>
        </w:rPr>
      </w:pPr>
      <w:r w:rsidRPr="00A5485A">
        <w:rPr>
          <w:rFonts w:ascii="Calibri" w:hAnsi="Calibri" w:cs="Calibri"/>
          <w:sz w:val="22"/>
          <w:szCs w:val="22"/>
        </w:rPr>
        <w:t>4.8</w:t>
      </w:r>
      <w:r w:rsidRPr="00A5485A">
        <w:rPr>
          <w:rFonts w:ascii="Calibri" w:hAnsi="Calibri" w:cs="Calibri"/>
          <w:sz w:val="22"/>
          <w:szCs w:val="22"/>
        </w:rPr>
        <w:tab/>
        <w:t>That, where applicable, a debenture trust deed has been executed and completed, the effect of such trust deed, and the nature of the security created thereby in favour of the debenture holders or debenture stockholders.</w:t>
      </w:r>
    </w:p>
    <w:p w14:paraId="17BF3FF1" w14:textId="77777777" w:rsidR="00C652E6" w:rsidRPr="00A5485A" w:rsidRDefault="00C652E6" w:rsidP="00C652E6">
      <w:pPr>
        <w:pStyle w:val="000"/>
        <w:rPr>
          <w:rFonts w:ascii="Calibri" w:hAnsi="Calibri" w:cs="Calibri"/>
          <w:sz w:val="22"/>
          <w:szCs w:val="22"/>
        </w:rPr>
      </w:pPr>
      <w:r w:rsidRPr="00A5485A">
        <w:rPr>
          <w:rFonts w:ascii="Calibri" w:hAnsi="Calibri" w:cs="Calibri"/>
          <w:sz w:val="22"/>
          <w:szCs w:val="22"/>
        </w:rPr>
        <w:t>4.9</w:t>
      </w:r>
      <w:r w:rsidRPr="00A5485A">
        <w:rPr>
          <w:rFonts w:ascii="Calibri" w:hAnsi="Calibri" w:cs="Calibri"/>
          <w:sz w:val="22"/>
          <w:szCs w:val="22"/>
        </w:rPr>
        <w:tab/>
        <w:t>That all monies refundable, in respect of any application or where no allotment has been made, have been refunded to applicants.</w:t>
      </w:r>
    </w:p>
    <w:p w14:paraId="1F04C317" w14:textId="77777777" w:rsidR="00C652E6" w:rsidRPr="00A5485A" w:rsidRDefault="00C652E6" w:rsidP="00C652E6">
      <w:pPr>
        <w:pStyle w:val="000"/>
        <w:rPr>
          <w:rFonts w:ascii="Calibri" w:hAnsi="Calibri" w:cs="Calibri"/>
          <w:sz w:val="22"/>
          <w:szCs w:val="22"/>
        </w:rPr>
      </w:pPr>
      <w:r w:rsidRPr="00A5485A">
        <w:rPr>
          <w:rFonts w:ascii="Calibri" w:hAnsi="Calibri" w:cs="Calibri"/>
          <w:sz w:val="22"/>
          <w:szCs w:val="22"/>
        </w:rPr>
        <w:t>4.10</w:t>
      </w:r>
      <w:r w:rsidRPr="00A5485A">
        <w:rPr>
          <w:rFonts w:ascii="Calibri" w:hAnsi="Calibri" w:cs="Calibri"/>
          <w:sz w:val="22"/>
          <w:szCs w:val="22"/>
        </w:rPr>
        <w:tab/>
        <w:t>That external companies will open and maintain a transfer office in the Republic of South Africa while the securities are listed on the JSE.</w:t>
      </w:r>
    </w:p>
    <w:p w14:paraId="14BD0839" w14:textId="3DFC8646" w:rsidR="00C652E6" w:rsidRPr="00A5485A" w:rsidRDefault="00C652E6" w:rsidP="00C652E6">
      <w:pPr>
        <w:pStyle w:val="000"/>
        <w:rPr>
          <w:rFonts w:ascii="Calibri" w:hAnsi="Calibri" w:cs="Calibri"/>
          <w:sz w:val="22"/>
          <w:szCs w:val="22"/>
        </w:rPr>
      </w:pPr>
      <w:r w:rsidRPr="00A5485A">
        <w:rPr>
          <w:rFonts w:ascii="Calibri" w:hAnsi="Calibri" w:cs="Calibri"/>
          <w:sz w:val="22"/>
          <w:szCs w:val="22"/>
        </w:rPr>
        <w:t>4.11</w:t>
      </w:r>
      <w:r w:rsidRPr="00A5485A">
        <w:rPr>
          <w:rFonts w:ascii="Calibri" w:hAnsi="Calibri" w:cs="Calibri"/>
          <w:sz w:val="22"/>
          <w:szCs w:val="22"/>
        </w:rPr>
        <w:tab/>
        <w:t xml:space="preserve">That all documents specified in paragraph </w:t>
      </w:r>
      <w:r w:rsidR="00A5485A" w:rsidRPr="00A5485A">
        <w:rPr>
          <w:rFonts w:ascii="Calibri" w:hAnsi="Calibri" w:cs="Calibri"/>
          <w:sz w:val="22"/>
          <w:szCs w:val="22"/>
        </w:rPr>
        <w:t>B25 Section 10 of the JSE Listings Requirements</w:t>
      </w:r>
      <w:r w:rsidRPr="00A5485A">
        <w:rPr>
          <w:rFonts w:ascii="Calibri" w:hAnsi="Calibri" w:cs="Calibri"/>
          <w:sz w:val="22"/>
          <w:szCs w:val="22"/>
        </w:rPr>
        <w:t xml:space="preserve"> have been, or are lying, open for inspection in the manner prescribed.</w:t>
      </w:r>
    </w:p>
    <w:p w14:paraId="32F13565" w14:textId="77777777" w:rsidR="00C652E6" w:rsidRPr="00A5485A" w:rsidRDefault="00C652E6" w:rsidP="00C652E6">
      <w:pPr>
        <w:pStyle w:val="000"/>
        <w:rPr>
          <w:rFonts w:ascii="Calibri" w:hAnsi="Calibri" w:cs="Calibri"/>
          <w:sz w:val="22"/>
          <w:szCs w:val="22"/>
        </w:rPr>
      </w:pPr>
      <w:r w:rsidRPr="00A5485A">
        <w:rPr>
          <w:rFonts w:ascii="Calibri" w:hAnsi="Calibri" w:cs="Calibri"/>
          <w:sz w:val="22"/>
          <w:szCs w:val="22"/>
        </w:rPr>
        <w:t>4.12</w:t>
      </w:r>
      <w:r w:rsidRPr="00A5485A">
        <w:rPr>
          <w:rFonts w:ascii="Calibri" w:hAnsi="Calibri" w:cs="Calibri"/>
          <w:sz w:val="22"/>
          <w:szCs w:val="22"/>
        </w:rPr>
        <w:tab/>
        <w:t>That there are no other circumstances arising from the application that should be disclosed to the JSE.</w:t>
      </w:r>
    </w:p>
    <w:p w14:paraId="0A7539B0" w14:textId="77777777" w:rsidR="00DB0FDB" w:rsidRPr="00A5485A" w:rsidRDefault="00DB0FDB">
      <w:pPr>
        <w:rPr>
          <w:rFonts w:ascii="Calibri" w:hAnsi="Calibri" w:cs="Calibri"/>
        </w:rPr>
      </w:pPr>
    </w:p>
    <w:sectPr w:rsidR="00DB0FDB" w:rsidRPr="00A548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FEB24" w14:textId="77777777" w:rsidR="00C652E6" w:rsidRDefault="00C652E6" w:rsidP="00C652E6">
      <w:pPr>
        <w:spacing w:after="0" w:line="240" w:lineRule="auto"/>
      </w:pPr>
      <w:r>
        <w:separator/>
      </w:r>
    </w:p>
  </w:endnote>
  <w:endnote w:type="continuationSeparator" w:id="0">
    <w:p w14:paraId="67C89DF0" w14:textId="77777777" w:rsidR="00C652E6" w:rsidRDefault="00C652E6" w:rsidP="00C65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84C6E" w14:textId="77777777" w:rsidR="00C652E6" w:rsidRDefault="00C652E6" w:rsidP="00C652E6">
      <w:pPr>
        <w:spacing w:after="0" w:line="240" w:lineRule="auto"/>
      </w:pPr>
      <w:r>
        <w:separator/>
      </w:r>
    </w:p>
  </w:footnote>
  <w:footnote w:type="continuationSeparator" w:id="0">
    <w:p w14:paraId="0864C516" w14:textId="77777777" w:rsidR="00C652E6" w:rsidRDefault="00C652E6" w:rsidP="00C652E6">
      <w:pPr>
        <w:spacing w:after="0" w:line="240" w:lineRule="auto"/>
      </w:pPr>
      <w:r>
        <w:continuationSeparator/>
      </w:r>
    </w:p>
  </w:footnote>
  <w:footnote w:id="1">
    <w:p w14:paraId="38433295" w14:textId="77777777" w:rsidR="00C652E6" w:rsidRPr="008D4325" w:rsidRDefault="00C652E6" w:rsidP="00C652E6">
      <w:pPr>
        <w:pStyle w:val="footnotes"/>
      </w:pPr>
      <w:r w:rsidRPr="008D4325">
        <w:tab/>
        <w:t>Introduction amended with effect from 30 September 2014.</w:t>
      </w:r>
    </w:p>
  </w:footnote>
  <w:footnote w:id="2">
    <w:p w14:paraId="04F84BAF" w14:textId="77777777" w:rsidR="00C652E6" w:rsidRPr="008D4325" w:rsidRDefault="00C652E6" w:rsidP="00C652E6">
      <w:pPr>
        <w:pStyle w:val="footnotes"/>
      </w:pPr>
      <w:r w:rsidRPr="008D4325">
        <w:tab/>
        <w:t>4.1 amended with effect from 1 May 2011.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E6"/>
    <w:rsid w:val="00037EA9"/>
    <w:rsid w:val="00063375"/>
    <w:rsid w:val="00092466"/>
    <w:rsid w:val="000A0163"/>
    <w:rsid w:val="000A575E"/>
    <w:rsid w:val="000C717A"/>
    <w:rsid w:val="000D5551"/>
    <w:rsid w:val="00166526"/>
    <w:rsid w:val="00170F61"/>
    <w:rsid w:val="001B4778"/>
    <w:rsid w:val="001C3232"/>
    <w:rsid w:val="001D3452"/>
    <w:rsid w:val="002870AD"/>
    <w:rsid w:val="002A1509"/>
    <w:rsid w:val="003306CB"/>
    <w:rsid w:val="00356D0C"/>
    <w:rsid w:val="00410162"/>
    <w:rsid w:val="00420C50"/>
    <w:rsid w:val="004355D4"/>
    <w:rsid w:val="00443AE7"/>
    <w:rsid w:val="004B615E"/>
    <w:rsid w:val="004B7861"/>
    <w:rsid w:val="004C11F4"/>
    <w:rsid w:val="0051546D"/>
    <w:rsid w:val="0052739B"/>
    <w:rsid w:val="005832E9"/>
    <w:rsid w:val="0060792D"/>
    <w:rsid w:val="00664B39"/>
    <w:rsid w:val="006A6A59"/>
    <w:rsid w:val="006B6540"/>
    <w:rsid w:val="006E74F3"/>
    <w:rsid w:val="0070506B"/>
    <w:rsid w:val="00736F10"/>
    <w:rsid w:val="007553B0"/>
    <w:rsid w:val="00766624"/>
    <w:rsid w:val="00775948"/>
    <w:rsid w:val="00791953"/>
    <w:rsid w:val="007B15D5"/>
    <w:rsid w:val="007B5B0F"/>
    <w:rsid w:val="007F1E3D"/>
    <w:rsid w:val="0086573C"/>
    <w:rsid w:val="008671A4"/>
    <w:rsid w:val="008675D7"/>
    <w:rsid w:val="00867E23"/>
    <w:rsid w:val="00867EF9"/>
    <w:rsid w:val="0087760F"/>
    <w:rsid w:val="00882CB2"/>
    <w:rsid w:val="00886D38"/>
    <w:rsid w:val="008F3AF9"/>
    <w:rsid w:val="00953E48"/>
    <w:rsid w:val="009645DD"/>
    <w:rsid w:val="009A4BF6"/>
    <w:rsid w:val="009C5AFB"/>
    <w:rsid w:val="009F2340"/>
    <w:rsid w:val="00A310B4"/>
    <w:rsid w:val="00A5485A"/>
    <w:rsid w:val="00A8576F"/>
    <w:rsid w:val="00AA61D4"/>
    <w:rsid w:val="00B61896"/>
    <w:rsid w:val="00B94118"/>
    <w:rsid w:val="00BA5944"/>
    <w:rsid w:val="00BB2B05"/>
    <w:rsid w:val="00BB4F64"/>
    <w:rsid w:val="00BE0489"/>
    <w:rsid w:val="00BF62FA"/>
    <w:rsid w:val="00C275C5"/>
    <w:rsid w:val="00C51791"/>
    <w:rsid w:val="00C652E6"/>
    <w:rsid w:val="00CA6B46"/>
    <w:rsid w:val="00CB7EF1"/>
    <w:rsid w:val="00CD0185"/>
    <w:rsid w:val="00D0335F"/>
    <w:rsid w:val="00D1204F"/>
    <w:rsid w:val="00D30442"/>
    <w:rsid w:val="00D6505E"/>
    <w:rsid w:val="00D764A2"/>
    <w:rsid w:val="00DA31A7"/>
    <w:rsid w:val="00DB0FDB"/>
    <w:rsid w:val="00DE2A9B"/>
    <w:rsid w:val="00DF7973"/>
    <w:rsid w:val="00E04A9A"/>
    <w:rsid w:val="00E117DC"/>
    <w:rsid w:val="00E22A5A"/>
    <w:rsid w:val="00E30981"/>
    <w:rsid w:val="00E52C4A"/>
    <w:rsid w:val="00EF5ACD"/>
    <w:rsid w:val="00F00465"/>
    <w:rsid w:val="00F228EA"/>
    <w:rsid w:val="00F37664"/>
    <w:rsid w:val="00FB25CE"/>
    <w:rsid w:val="00FB2B11"/>
    <w:rsid w:val="00FC4F6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03BC"/>
  <w15:chartTrackingRefBased/>
  <w15:docId w15:val="{BADA88CD-B62F-441D-AC72-8EBF0CA6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2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2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2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2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2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2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2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2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2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2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2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2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2E6"/>
    <w:rPr>
      <w:rFonts w:eastAsiaTheme="majorEastAsia" w:cstheme="majorBidi"/>
      <w:color w:val="272727" w:themeColor="text1" w:themeTint="D8"/>
    </w:rPr>
  </w:style>
  <w:style w:type="paragraph" w:styleId="Title">
    <w:name w:val="Title"/>
    <w:basedOn w:val="Normal"/>
    <w:next w:val="Normal"/>
    <w:link w:val="TitleChar"/>
    <w:uiPriority w:val="10"/>
    <w:qFormat/>
    <w:rsid w:val="00C65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2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2E6"/>
    <w:pPr>
      <w:spacing w:before="160"/>
      <w:jc w:val="center"/>
    </w:pPr>
    <w:rPr>
      <w:i/>
      <w:iCs/>
      <w:color w:val="404040" w:themeColor="text1" w:themeTint="BF"/>
    </w:rPr>
  </w:style>
  <w:style w:type="character" w:customStyle="1" w:styleId="QuoteChar">
    <w:name w:val="Quote Char"/>
    <w:basedOn w:val="DefaultParagraphFont"/>
    <w:link w:val="Quote"/>
    <w:uiPriority w:val="29"/>
    <w:rsid w:val="00C652E6"/>
    <w:rPr>
      <w:i/>
      <w:iCs/>
      <w:color w:val="404040" w:themeColor="text1" w:themeTint="BF"/>
    </w:rPr>
  </w:style>
  <w:style w:type="paragraph" w:styleId="ListParagraph">
    <w:name w:val="List Paragraph"/>
    <w:basedOn w:val="Normal"/>
    <w:uiPriority w:val="34"/>
    <w:qFormat/>
    <w:rsid w:val="00C652E6"/>
    <w:pPr>
      <w:ind w:left="720"/>
      <w:contextualSpacing/>
    </w:pPr>
  </w:style>
  <w:style w:type="character" w:styleId="IntenseEmphasis">
    <w:name w:val="Intense Emphasis"/>
    <w:basedOn w:val="DefaultParagraphFont"/>
    <w:uiPriority w:val="21"/>
    <w:qFormat/>
    <w:rsid w:val="00C652E6"/>
    <w:rPr>
      <w:i/>
      <w:iCs/>
      <w:color w:val="0F4761" w:themeColor="accent1" w:themeShade="BF"/>
    </w:rPr>
  </w:style>
  <w:style w:type="paragraph" w:styleId="IntenseQuote">
    <w:name w:val="Intense Quote"/>
    <w:basedOn w:val="Normal"/>
    <w:next w:val="Normal"/>
    <w:link w:val="IntenseQuoteChar"/>
    <w:uiPriority w:val="30"/>
    <w:qFormat/>
    <w:rsid w:val="00C65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2E6"/>
    <w:rPr>
      <w:i/>
      <w:iCs/>
      <w:color w:val="0F4761" w:themeColor="accent1" w:themeShade="BF"/>
    </w:rPr>
  </w:style>
  <w:style w:type="character" w:styleId="IntenseReference">
    <w:name w:val="Intense Reference"/>
    <w:basedOn w:val="DefaultParagraphFont"/>
    <w:uiPriority w:val="32"/>
    <w:qFormat/>
    <w:rsid w:val="00C652E6"/>
    <w:rPr>
      <w:b/>
      <w:bCs/>
      <w:smallCaps/>
      <w:color w:val="0F4761" w:themeColor="accent1" w:themeShade="BF"/>
      <w:spacing w:val="5"/>
    </w:rPr>
  </w:style>
  <w:style w:type="paragraph" w:customStyle="1" w:styleId="000">
    <w:name w:val="0.00"/>
    <w:basedOn w:val="Normal"/>
    <w:rsid w:val="00C652E6"/>
    <w:pPr>
      <w:widowControl w:val="0"/>
      <w:tabs>
        <w:tab w:val="left" w:pos="794"/>
      </w:tabs>
      <w:spacing w:before="180" w:after="0" w:line="240" w:lineRule="auto"/>
      <w:ind w:left="794" w:hanging="794"/>
      <w:jc w:val="both"/>
    </w:pPr>
    <w:rPr>
      <w:rFonts w:ascii="Verdana" w:eastAsia="Times New Roman" w:hAnsi="Verdana" w:cs="Times New Roman"/>
      <w:kern w:val="0"/>
      <w:sz w:val="18"/>
      <w:szCs w:val="20"/>
      <w:lang w:val="en-GB"/>
      <w14:ligatures w14:val="none"/>
    </w:rPr>
  </w:style>
  <w:style w:type="paragraph" w:customStyle="1" w:styleId="head1">
    <w:name w:val="head1"/>
    <w:basedOn w:val="Normal"/>
    <w:rsid w:val="00C652E6"/>
    <w:pPr>
      <w:widowControl w:val="0"/>
      <w:spacing w:before="360" w:after="0" w:line="240" w:lineRule="auto"/>
    </w:pPr>
    <w:rPr>
      <w:rFonts w:ascii="Verdana" w:eastAsia="Times New Roman" w:hAnsi="Verdana" w:cs="Times New Roman"/>
      <w:b/>
      <w:kern w:val="0"/>
      <w:sz w:val="18"/>
      <w:szCs w:val="20"/>
      <w:lang w:val="en-GB"/>
      <w14:ligatures w14:val="none"/>
    </w:rPr>
  </w:style>
  <w:style w:type="paragraph" w:customStyle="1" w:styleId="parafullout">
    <w:name w:val="parafullout"/>
    <w:basedOn w:val="Normal"/>
    <w:rsid w:val="00C652E6"/>
    <w:pPr>
      <w:widowControl w:val="0"/>
      <w:spacing w:before="180" w:after="0" w:line="240" w:lineRule="auto"/>
      <w:jc w:val="both"/>
    </w:pPr>
    <w:rPr>
      <w:rFonts w:ascii="Verdana" w:eastAsia="Times New Roman" w:hAnsi="Verdana" w:cs="Times New Roman"/>
      <w:kern w:val="0"/>
      <w:sz w:val="18"/>
      <w:szCs w:val="20"/>
      <w:lang w:val="en-GB"/>
      <w14:ligatures w14:val="none"/>
    </w:rPr>
  </w:style>
  <w:style w:type="paragraph" w:customStyle="1" w:styleId="footnotes">
    <w:name w:val="footnotes"/>
    <w:basedOn w:val="Normal"/>
    <w:rsid w:val="00C652E6"/>
    <w:pPr>
      <w:tabs>
        <w:tab w:val="left" w:pos="340"/>
      </w:tabs>
      <w:spacing w:after="0" w:line="240" w:lineRule="auto"/>
      <w:ind w:left="340" w:hanging="340"/>
      <w:jc w:val="both"/>
    </w:pPr>
    <w:rPr>
      <w:rFonts w:ascii="Verdana" w:eastAsia="Times New Roman" w:hAnsi="Verdana" w:cs="Times New Roman"/>
      <w:kern w:val="0"/>
      <w:sz w:val="16"/>
      <w:szCs w:val="20"/>
      <w:lang w:val="en-GB"/>
      <w14:ligatures w14:val="none"/>
    </w:rPr>
  </w:style>
  <w:style w:type="character" w:styleId="FootnoteReference">
    <w:name w:val="footnote reference"/>
    <w:semiHidden/>
    <w:rsid w:val="00C652E6"/>
    <w:rPr>
      <w:vertAlign w:val="superscript"/>
    </w:rPr>
  </w:style>
  <w:style w:type="table" w:styleId="TableGrid">
    <w:name w:val="Table Grid"/>
    <w:basedOn w:val="TableNormal"/>
    <w:uiPriority w:val="39"/>
    <w:rsid w:val="001D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337</Words>
  <Characters>1870</Characters>
  <Application>Microsoft Office Word</Application>
  <DocSecurity>0</DocSecurity>
  <Lines>62</Lines>
  <Paragraphs>41</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Alwyn Fouchee</dc:creator>
  <cp:keywords/>
  <dc:description/>
  <cp:lastModifiedBy>Alwyn Fouchee</cp:lastModifiedBy>
  <cp:revision>4</cp:revision>
  <dcterms:created xsi:type="dcterms:W3CDTF">2024-07-23T06:22:00Z</dcterms:created>
  <dcterms:modified xsi:type="dcterms:W3CDTF">2025-12-08T14:55:00Z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93fc94-2a04-4870-acee-9c0cd4b7d590_Enabled">
    <vt:lpwstr>true</vt:lpwstr>
  </property>
  <property fmtid="{D5CDD505-2E9C-101B-9397-08002B2CF9AE}" pid="3" name="MSIP_Label_ce93fc94-2a04-4870-acee-9c0cd4b7d590_SetDate">
    <vt:lpwstr>2024-07-23T06:23:40Z</vt:lpwstr>
  </property>
  <property fmtid="{D5CDD505-2E9C-101B-9397-08002B2CF9AE}" pid="4" name="MSIP_Label_ce93fc94-2a04-4870-acee-9c0cd4b7d590_Method">
    <vt:lpwstr>Standard</vt:lpwstr>
  </property>
  <property fmtid="{D5CDD505-2E9C-101B-9397-08002B2CF9AE}" pid="5" name="MSIP_Label_ce93fc94-2a04-4870-acee-9c0cd4b7d590_Name">
    <vt:lpwstr>Internal</vt:lpwstr>
  </property>
  <property fmtid="{D5CDD505-2E9C-101B-9397-08002B2CF9AE}" pid="6" name="MSIP_Label_ce93fc94-2a04-4870-acee-9c0cd4b7d590_SiteId">
    <vt:lpwstr>cffa6640-7572-4f05-9c64-cd88068c19d4</vt:lpwstr>
  </property>
  <property fmtid="{D5CDD505-2E9C-101B-9397-08002B2CF9AE}" pid="7" name="MSIP_Label_ce93fc94-2a04-4870-acee-9c0cd4b7d590_ActionId">
    <vt:lpwstr>bb041698-8927-4c5f-890b-2a538f98a4fa</vt:lpwstr>
  </property>
  <property fmtid="{D5CDD505-2E9C-101B-9397-08002B2CF9AE}" pid="8" name="MSIP_Label_ce93fc94-2a04-4870-acee-9c0cd4b7d590_ContentBits">
    <vt:lpwstr>0</vt:lpwstr>
  </property>
</Properties>
</file>