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F6C96" w:rsidRPr="00AB6B9E" w14:paraId="7DACA605" w14:textId="77777777" w:rsidTr="00AB6B9E">
        <w:tc>
          <w:tcPr>
            <w:tcW w:w="9016" w:type="dxa"/>
            <w:shd w:val="clear" w:color="auto" w:fill="92D050"/>
          </w:tcPr>
          <w:p w14:paraId="742A7C6A" w14:textId="77777777" w:rsidR="00AB6B9E" w:rsidRPr="00AB6B9E" w:rsidRDefault="00EF6C96" w:rsidP="00AB6B9E">
            <w:pPr>
              <w:spacing w:before="40" w:line="200" w:lineRule="exact"/>
              <w:rPr>
                <w:rFonts w:ascii="Calibri" w:hAnsi="Calibri" w:cs="Calibri"/>
                <w:b/>
              </w:rPr>
            </w:pPr>
            <w:r w:rsidRPr="00AB6B9E">
              <w:rPr>
                <w:rFonts w:ascii="Calibri" w:hAnsi="Calibri" w:cs="Calibri"/>
                <w:b/>
              </w:rPr>
              <w:t>Form B3</w:t>
            </w:r>
            <w:r w:rsidR="00DA67E1" w:rsidRPr="00AB6B9E">
              <w:rPr>
                <w:rFonts w:ascii="Calibri" w:hAnsi="Calibri" w:cs="Calibri"/>
                <w:b/>
              </w:rPr>
              <w:t xml:space="preserve">: </w:t>
            </w:r>
            <w:r w:rsidR="00DA67E1" w:rsidRPr="00AB6B9E">
              <w:rPr>
                <w:rFonts w:ascii="Calibri" w:eastAsia="Times New Roman" w:hAnsi="Calibri" w:cs="Calibri"/>
                <w:b/>
                <w:kern w:val="0"/>
                <w:lang w:val="en-GB"/>
                <w14:ligatures w14:val="none"/>
              </w:rPr>
              <w:t>Standard</w:t>
            </w:r>
            <w:r w:rsidR="00DA67E1" w:rsidRPr="00AB6B9E">
              <w:rPr>
                <w:rFonts w:ascii="Calibri" w:hAnsi="Calibri" w:cs="Calibri"/>
                <w:b/>
              </w:rPr>
              <w:t xml:space="preserve"> wording for cautionary announcements</w:t>
            </w:r>
          </w:p>
          <w:p w14:paraId="52C3A8C3" w14:textId="77777777" w:rsidR="00AB6B9E" w:rsidRPr="00AB6B9E" w:rsidRDefault="00AB6B9E" w:rsidP="00AB6B9E">
            <w:pPr>
              <w:spacing w:before="40" w:line="200" w:lineRule="exact"/>
              <w:rPr>
                <w:rFonts w:ascii="Calibri" w:hAnsi="Calibri" w:cs="Calibri"/>
                <w:b/>
              </w:rPr>
            </w:pPr>
          </w:p>
          <w:p w14:paraId="5726919A" w14:textId="1CF3DF21" w:rsidR="00DA67E1" w:rsidRPr="00CA2625" w:rsidRDefault="00DA67E1" w:rsidP="00AB6B9E">
            <w:pPr>
              <w:spacing w:before="40" w:line="200" w:lineRule="exact"/>
              <w:rPr>
                <w:rFonts w:ascii="Calibri" w:hAnsi="Calibri" w:cs="Calibri"/>
                <w:b/>
                <w:bCs/>
                <w:i/>
                <w:iCs/>
              </w:rPr>
            </w:pPr>
            <w:r w:rsidRPr="00CA2625">
              <w:rPr>
                <w:rFonts w:ascii="Calibri" w:hAnsi="Calibri" w:cs="Calibri"/>
                <w:b/>
                <w:i/>
                <w:iCs/>
              </w:rPr>
              <w:t>Previous Schedule 15</w:t>
            </w:r>
          </w:p>
        </w:tc>
      </w:tr>
    </w:tbl>
    <w:p w14:paraId="49C86CE0" w14:textId="1C9ABC10" w:rsidR="00C845CA" w:rsidRPr="00AB6B9E" w:rsidRDefault="00C845CA" w:rsidP="00C845CA">
      <w:pPr>
        <w:pStyle w:val="parafullout"/>
        <w:rPr>
          <w:rFonts w:ascii="Calibri" w:hAnsi="Calibri" w:cs="Calibri"/>
          <w:sz w:val="22"/>
          <w:szCs w:val="22"/>
        </w:rPr>
      </w:pPr>
      <w:r w:rsidRPr="00AB6B9E">
        <w:rPr>
          <w:rFonts w:ascii="Calibri" w:hAnsi="Calibri" w:cs="Calibri"/>
          <w:sz w:val="22"/>
          <w:szCs w:val="22"/>
        </w:rPr>
        <w:t xml:space="preserve">The following announcements comprise what is generally accepted to be the standard cautionary announcements acceptable to the JSE. They should be drafted from the alternatives presented in this schedule to read sensibly and meaningfully given the circumstances that have given rise to their necessity. However, applicant issuers should be aware that these announcements contain the minimum disclosure requirements acceptable to the JSE and wherever possible should publish cautionary announcements containing more detailed information. </w:t>
      </w:r>
    </w:p>
    <w:p w14:paraId="2905B680" w14:textId="7CAE8358" w:rsidR="00C845CA" w:rsidRPr="00AB6B9E" w:rsidRDefault="00C845CA" w:rsidP="00C845CA">
      <w:pPr>
        <w:pStyle w:val="parafullout"/>
        <w:rPr>
          <w:rFonts w:ascii="Calibri" w:hAnsi="Calibri" w:cs="Calibri"/>
          <w:b/>
          <w:sz w:val="22"/>
          <w:szCs w:val="22"/>
        </w:rPr>
      </w:pPr>
      <w:r w:rsidRPr="00AB6B9E">
        <w:rPr>
          <w:rFonts w:ascii="Calibri" w:hAnsi="Calibri" w:cs="Calibri"/>
          <w:b/>
          <w:sz w:val="22"/>
          <w:szCs w:val="22"/>
        </w:rPr>
        <w:t>First cautionary announcement</w:t>
      </w:r>
    </w:p>
    <w:p w14:paraId="5B372045" w14:textId="15DEDA33"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1.1</w:t>
      </w:r>
      <w:r w:rsidRPr="00AB6B9E">
        <w:rPr>
          <w:rFonts w:ascii="Calibri" w:hAnsi="Calibri" w:cs="Calibri"/>
          <w:sz w:val="22"/>
          <w:szCs w:val="22"/>
        </w:rPr>
        <w:tab/>
        <w:t>Cautionary announcement</w:t>
      </w:r>
    </w:p>
    <w:p w14:paraId="6CDDD3C0" w14:textId="78C17B89" w:rsidR="00C845CA" w:rsidRPr="00AB6B9E" w:rsidRDefault="00C845CA" w:rsidP="00C845CA">
      <w:pPr>
        <w:pStyle w:val="000"/>
        <w:rPr>
          <w:rFonts w:ascii="Calibri" w:hAnsi="Calibri" w:cs="Calibri"/>
          <w:b/>
          <w:bCs/>
          <w:sz w:val="22"/>
          <w:szCs w:val="22"/>
        </w:rPr>
      </w:pPr>
      <w:r w:rsidRPr="00AB6B9E">
        <w:rPr>
          <w:rFonts w:ascii="Calibri" w:hAnsi="Calibri" w:cs="Calibri"/>
          <w:b/>
          <w:bCs/>
          <w:sz w:val="22"/>
          <w:szCs w:val="22"/>
        </w:rPr>
        <w:tab/>
      </w:r>
      <w:r w:rsidR="002A2813" w:rsidRPr="00AB6B9E">
        <w:rPr>
          <w:rFonts w:ascii="Calibri" w:hAnsi="Calibri" w:cs="Calibri"/>
          <w:b/>
          <w:bCs/>
          <w:sz w:val="22"/>
          <w:szCs w:val="22"/>
        </w:rPr>
        <w:t xml:space="preserve">[Bland cautionary removed] </w:t>
      </w:r>
    </w:p>
    <w:p w14:paraId="1511610B" w14:textId="59402CF3" w:rsidR="00C845CA" w:rsidRPr="00AB6B9E" w:rsidRDefault="00C845CA" w:rsidP="00C845CA">
      <w:pPr>
        <w:pStyle w:val="parafullout"/>
        <w:rPr>
          <w:rFonts w:ascii="Calibri" w:hAnsi="Calibri" w:cs="Calibri"/>
          <w:b/>
          <w:sz w:val="22"/>
          <w:szCs w:val="22"/>
        </w:rPr>
      </w:pPr>
      <w:r w:rsidRPr="00AB6B9E">
        <w:rPr>
          <w:rFonts w:ascii="Calibri" w:hAnsi="Calibri" w:cs="Calibri"/>
          <w:b/>
          <w:sz w:val="22"/>
          <w:szCs w:val="22"/>
        </w:rPr>
        <w:t>Renewal of existing cautionary</w:t>
      </w:r>
    </w:p>
    <w:p w14:paraId="56C492E0" w14:textId="21659984"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1.2</w:t>
      </w:r>
      <w:r w:rsidRPr="00AB6B9E">
        <w:rPr>
          <w:rFonts w:ascii="Calibri" w:hAnsi="Calibri" w:cs="Calibri"/>
          <w:sz w:val="22"/>
          <w:szCs w:val="22"/>
        </w:rPr>
        <w:tab/>
        <w:t>“Further cautionary announcement</w:t>
      </w:r>
    </w:p>
    <w:p w14:paraId="4E4377D6" w14:textId="77777777"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ab/>
        <w:t>Further to the cautionary announcement(s) dated .................................................,</w:t>
      </w:r>
    </w:p>
    <w:p w14:paraId="0D592C21" w14:textId="77777777"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ab/>
        <w:t>shareholders are advised that [negotiations are still in progress which, if successfully concluded], [the full impact of the event/circumstances/new developments is/are still being determined, and that this event/these circumstances/these new developments] may have a material effect on the price of the company’s securities. Accordingly, shareholders are advised to continue exercising caution when dealing in the company’s securities until a full announcement is made.”</w:t>
      </w:r>
    </w:p>
    <w:p w14:paraId="30FEAA3B" w14:textId="77777777" w:rsidR="00C845CA" w:rsidRPr="00AB6B9E" w:rsidRDefault="00C845CA" w:rsidP="00C845CA">
      <w:pPr>
        <w:pStyle w:val="parafullout"/>
        <w:rPr>
          <w:rFonts w:ascii="Calibri" w:hAnsi="Calibri" w:cs="Calibri"/>
          <w:b/>
          <w:sz w:val="22"/>
          <w:szCs w:val="22"/>
        </w:rPr>
      </w:pPr>
      <w:r w:rsidRPr="00AB6B9E">
        <w:rPr>
          <w:rFonts w:ascii="Calibri" w:hAnsi="Calibri" w:cs="Calibri"/>
          <w:b/>
          <w:sz w:val="22"/>
          <w:szCs w:val="22"/>
        </w:rPr>
        <w:t>Withdrawal of cautionary</w:t>
      </w:r>
    </w:p>
    <w:p w14:paraId="34D574C6" w14:textId="72138D90" w:rsidR="00C845CA" w:rsidRPr="00AB6B9E" w:rsidRDefault="002A2813" w:rsidP="00C845CA">
      <w:pPr>
        <w:pStyle w:val="000"/>
        <w:rPr>
          <w:rFonts w:ascii="Calibri" w:hAnsi="Calibri" w:cs="Calibri"/>
          <w:sz w:val="22"/>
          <w:szCs w:val="22"/>
        </w:rPr>
      </w:pPr>
      <w:r w:rsidRPr="00AB6B9E">
        <w:rPr>
          <w:rFonts w:ascii="Calibri" w:hAnsi="Calibri" w:cs="Calibri"/>
          <w:sz w:val="22"/>
          <w:szCs w:val="22"/>
        </w:rPr>
        <w:t>1</w:t>
      </w:r>
      <w:r w:rsidR="00C845CA" w:rsidRPr="00AB6B9E">
        <w:rPr>
          <w:rFonts w:ascii="Calibri" w:hAnsi="Calibri" w:cs="Calibri"/>
          <w:sz w:val="22"/>
          <w:szCs w:val="22"/>
        </w:rPr>
        <w:t>.3</w:t>
      </w:r>
      <w:r w:rsidR="00C845CA" w:rsidRPr="00AB6B9E">
        <w:rPr>
          <w:rFonts w:ascii="Calibri" w:hAnsi="Calibri" w:cs="Calibri"/>
          <w:sz w:val="22"/>
          <w:szCs w:val="22"/>
        </w:rPr>
        <w:tab/>
        <w:t>“Withdrawal of cautionary announcement:</w:t>
      </w:r>
    </w:p>
    <w:p w14:paraId="7BED9383" w14:textId="77777777"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ab/>
        <w:t xml:space="preserve">Shareholders are referred to the cautionary announcement(s) dated ...................., </w:t>
      </w:r>
    </w:p>
    <w:p w14:paraId="644102A5" w14:textId="77777777" w:rsidR="00C845CA" w:rsidRPr="00AB6B9E" w:rsidRDefault="00C845CA" w:rsidP="00C845CA">
      <w:pPr>
        <w:pStyle w:val="000"/>
        <w:rPr>
          <w:rFonts w:ascii="Calibri" w:hAnsi="Calibri" w:cs="Calibri"/>
          <w:sz w:val="22"/>
          <w:szCs w:val="22"/>
        </w:rPr>
      </w:pPr>
      <w:r w:rsidRPr="00AB6B9E">
        <w:rPr>
          <w:rFonts w:ascii="Calibri" w:hAnsi="Calibri" w:cs="Calibri"/>
          <w:sz w:val="22"/>
          <w:szCs w:val="22"/>
        </w:rPr>
        <w:tab/>
        <w:t>and are advised that as [negotiations have been terminated] [the contents referred to therein have ceased to have any relevance or effect on the company], caution is no longer required to be exercised by shareholders when dealing in their securities.”</w:t>
      </w:r>
    </w:p>
    <w:p w14:paraId="5063D26D" w14:textId="77777777" w:rsidR="00DB0FDB" w:rsidRPr="00AB6B9E" w:rsidRDefault="00DB0FDB">
      <w:pPr>
        <w:rPr>
          <w:rFonts w:ascii="Calibri" w:hAnsi="Calibri" w:cs="Calibri"/>
        </w:rPr>
      </w:pPr>
    </w:p>
    <w:sectPr w:rsidR="00DB0FDB" w:rsidRPr="00AB6B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4AA9" w14:textId="77777777" w:rsidR="007C69E4" w:rsidRDefault="007C69E4" w:rsidP="00C845CA">
      <w:pPr>
        <w:spacing w:after="0" w:line="240" w:lineRule="auto"/>
      </w:pPr>
      <w:r>
        <w:separator/>
      </w:r>
    </w:p>
  </w:endnote>
  <w:endnote w:type="continuationSeparator" w:id="0">
    <w:p w14:paraId="448BB692" w14:textId="77777777" w:rsidR="007C69E4" w:rsidRDefault="007C69E4" w:rsidP="00C8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5B83" w14:textId="77777777" w:rsidR="007C69E4" w:rsidRDefault="007C69E4" w:rsidP="00C845CA">
      <w:pPr>
        <w:spacing w:after="0" w:line="240" w:lineRule="auto"/>
      </w:pPr>
      <w:r>
        <w:separator/>
      </w:r>
    </w:p>
  </w:footnote>
  <w:footnote w:type="continuationSeparator" w:id="0">
    <w:p w14:paraId="590E7D15" w14:textId="77777777" w:rsidR="007C69E4" w:rsidRDefault="007C69E4" w:rsidP="00C84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CA"/>
    <w:rsid w:val="00037EA9"/>
    <w:rsid w:val="00063375"/>
    <w:rsid w:val="00092466"/>
    <w:rsid w:val="000A0163"/>
    <w:rsid w:val="000A575E"/>
    <w:rsid w:val="000C717A"/>
    <w:rsid w:val="000D5551"/>
    <w:rsid w:val="00166526"/>
    <w:rsid w:val="00170F61"/>
    <w:rsid w:val="001B4778"/>
    <w:rsid w:val="001C3232"/>
    <w:rsid w:val="00215741"/>
    <w:rsid w:val="002870AD"/>
    <w:rsid w:val="002922AA"/>
    <w:rsid w:val="002A1509"/>
    <w:rsid w:val="002A2813"/>
    <w:rsid w:val="00356D0C"/>
    <w:rsid w:val="003C40F0"/>
    <w:rsid w:val="00410162"/>
    <w:rsid w:val="00420C50"/>
    <w:rsid w:val="00443AE7"/>
    <w:rsid w:val="004B615E"/>
    <w:rsid w:val="004B7861"/>
    <w:rsid w:val="004C11F4"/>
    <w:rsid w:val="0051546D"/>
    <w:rsid w:val="0052739B"/>
    <w:rsid w:val="005832E9"/>
    <w:rsid w:val="0060792D"/>
    <w:rsid w:val="00664B39"/>
    <w:rsid w:val="006E74F3"/>
    <w:rsid w:val="00736F10"/>
    <w:rsid w:val="007553B0"/>
    <w:rsid w:val="00766624"/>
    <w:rsid w:val="00775948"/>
    <w:rsid w:val="00791953"/>
    <w:rsid w:val="007B15D5"/>
    <w:rsid w:val="007C69E4"/>
    <w:rsid w:val="0086573C"/>
    <w:rsid w:val="008671A4"/>
    <w:rsid w:val="008675D7"/>
    <w:rsid w:val="00867E23"/>
    <w:rsid w:val="00867EF9"/>
    <w:rsid w:val="00882CB2"/>
    <w:rsid w:val="00886D38"/>
    <w:rsid w:val="008F3AF9"/>
    <w:rsid w:val="00953E48"/>
    <w:rsid w:val="009645DD"/>
    <w:rsid w:val="009A4BF6"/>
    <w:rsid w:val="009C5AFB"/>
    <w:rsid w:val="00A310B4"/>
    <w:rsid w:val="00A56652"/>
    <w:rsid w:val="00A70CE7"/>
    <w:rsid w:val="00AA61D4"/>
    <w:rsid w:val="00AB6B9E"/>
    <w:rsid w:val="00B61896"/>
    <w:rsid w:val="00BA5944"/>
    <w:rsid w:val="00BB2B05"/>
    <w:rsid w:val="00BB4F64"/>
    <w:rsid w:val="00C275C5"/>
    <w:rsid w:val="00C51791"/>
    <w:rsid w:val="00C845CA"/>
    <w:rsid w:val="00CA2625"/>
    <w:rsid w:val="00CA6B46"/>
    <w:rsid w:val="00CD0185"/>
    <w:rsid w:val="00D1204F"/>
    <w:rsid w:val="00D30442"/>
    <w:rsid w:val="00D6505E"/>
    <w:rsid w:val="00D764A2"/>
    <w:rsid w:val="00DA31A7"/>
    <w:rsid w:val="00DA67E1"/>
    <w:rsid w:val="00DB0FDB"/>
    <w:rsid w:val="00DE2A9B"/>
    <w:rsid w:val="00DF7973"/>
    <w:rsid w:val="00E04A9A"/>
    <w:rsid w:val="00E117DC"/>
    <w:rsid w:val="00E22A5A"/>
    <w:rsid w:val="00E30981"/>
    <w:rsid w:val="00E52C4A"/>
    <w:rsid w:val="00EF5ACD"/>
    <w:rsid w:val="00EF6C96"/>
    <w:rsid w:val="00F00465"/>
    <w:rsid w:val="00F37664"/>
    <w:rsid w:val="00FB25CE"/>
    <w:rsid w:val="00FB2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7E81"/>
  <w15:chartTrackingRefBased/>
  <w15:docId w15:val="{D4A9820C-D1A0-4B0A-AD43-A0437D7C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5CA"/>
    <w:rPr>
      <w:rFonts w:eastAsiaTheme="majorEastAsia" w:cstheme="majorBidi"/>
      <w:color w:val="272727" w:themeColor="text1" w:themeTint="D8"/>
    </w:rPr>
  </w:style>
  <w:style w:type="paragraph" w:styleId="Title">
    <w:name w:val="Title"/>
    <w:basedOn w:val="Normal"/>
    <w:next w:val="Normal"/>
    <w:link w:val="TitleChar"/>
    <w:uiPriority w:val="10"/>
    <w:qFormat/>
    <w:rsid w:val="00C8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5CA"/>
    <w:pPr>
      <w:spacing w:before="160"/>
      <w:jc w:val="center"/>
    </w:pPr>
    <w:rPr>
      <w:i/>
      <w:iCs/>
      <w:color w:val="404040" w:themeColor="text1" w:themeTint="BF"/>
    </w:rPr>
  </w:style>
  <w:style w:type="character" w:customStyle="1" w:styleId="QuoteChar">
    <w:name w:val="Quote Char"/>
    <w:basedOn w:val="DefaultParagraphFont"/>
    <w:link w:val="Quote"/>
    <w:uiPriority w:val="29"/>
    <w:rsid w:val="00C845CA"/>
    <w:rPr>
      <w:i/>
      <w:iCs/>
      <w:color w:val="404040" w:themeColor="text1" w:themeTint="BF"/>
    </w:rPr>
  </w:style>
  <w:style w:type="paragraph" w:styleId="ListParagraph">
    <w:name w:val="List Paragraph"/>
    <w:basedOn w:val="Normal"/>
    <w:uiPriority w:val="34"/>
    <w:qFormat/>
    <w:rsid w:val="00C845CA"/>
    <w:pPr>
      <w:ind w:left="720"/>
      <w:contextualSpacing/>
    </w:pPr>
  </w:style>
  <w:style w:type="character" w:styleId="IntenseEmphasis">
    <w:name w:val="Intense Emphasis"/>
    <w:basedOn w:val="DefaultParagraphFont"/>
    <w:uiPriority w:val="21"/>
    <w:qFormat/>
    <w:rsid w:val="00C845CA"/>
    <w:rPr>
      <w:i/>
      <w:iCs/>
      <w:color w:val="0F4761" w:themeColor="accent1" w:themeShade="BF"/>
    </w:rPr>
  </w:style>
  <w:style w:type="paragraph" w:styleId="IntenseQuote">
    <w:name w:val="Intense Quote"/>
    <w:basedOn w:val="Normal"/>
    <w:next w:val="Normal"/>
    <w:link w:val="IntenseQuoteChar"/>
    <w:uiPriority w:val="30"/>
    <w:qFormat/>
    <w:rsid w:val="00C8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5CA"/>
    <w:rPr>
      <w:i/>
      <w:iCs/>
      <w:color w:val="0F4761" w:themeColor="accent1" w:themeShade="BF"/>
    </w:rPr>
  </w:style>
  <w:style w:type="character" w:styleId="IntenseReference">
    <w:name w:val="Intense Reference"/>
    <w:basedOn w:val="DefaultParagraphFont"/>
    <w:uiPriority w:val="32"/>
    <w:qFormat/>
    <w:rsid w:val="00C845CA"/>
    <w:rPr>
      <w:b/>
      <w:bCs/>
      <w:smallCaps/>
      <w:color w:val="0F4761" w:themeColor="accent1" w:themeShade="BF"/>
      <w:spacing w:val="5"/>
    </w:rPr>
  </w:style>
  <w:style w:type="paragraph" w:customStyle="1" w:styleId="000">
    <w:name w:val="0.00"/>
    <w:basedOn w:val="Normal"/>
    <w:rsid w:val="00C845CA"/>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14:ligatures w14:val="none"/>
    </w:rPr>
  </w:style>
  <w:style w:type="paragraph" w:customStyle="1" w:styleId="head1">
    <w:name w:val="head1"/>
    <w:basedOn w:val="Normal"/>
    <w:rsid w:val="00C845CA"/>
    <w:pPr>
      <w:widowControl w:val="0"/>
      <w:spacing w:before="360" w:after="0" w:line="240" w:lineRule="auto"/>
    </w:pPr>
    <w:rPr>
      <w:rFonts w:ascii="Verdana" w:eastAsia="Times New Roman" w:hAnsi="Verdana" w:cs="Times New Roman"/>
      <w:b/>
      <w:kern w:val="0"/>
      <w:sz w:val="18"/>
      <w:szCs w:val="20"/>
      <w:lang w:val="en-GB"/>
      <w14:ligatures w14:val="none"/>
    </w:rPr>
  </w:style>
  <w:style w:type="paragraph" w:customStyle="1" w:styleId="parafullout">
    <w:name w:val="parafullout"/>
    <w:basedOn w:val="Normal"/>
    <w:rsid w:val="00C845CA"/>
    <w:pPr>
      <w:widowControl w:val="0"/>
      <w:spacing w:before="180" w:after="0" w:line="240" w:lineRule="auto"/>
      <w:jc w:val="both"/>
    </w:pPr>
    <w:rPr>
      <w:rFonts w:ascii="Verdana" w:eastAsia="Times New Roman" w:hAnsi="Verdana" w:cs="Times New Roman"/>
      <w:kern w:val="0"/>
      <w:sz w:val="18"/>
      <w:szCs w:val="20"/>
      <w:lang w:val="en-GB"/>
      <w14:ligatures w14:val="none"/>
    </w:rPr>
  </w:style>
  <w:style w:type="paragraph" w:customStyle="1" w:styleId="footnotes">
    <w:name w:val="footnotes"/>
    <w:basedOn w:val="Normal"/>
    <w:rsid w:val="00C845CA"/>
    <w:pPr>
      <w:tabs>
        <w:tab w:val="left" w:pos="340"/>
      </w:tabs>
      <w:spacing w:after="0" w:line="240" w:lineRule="auto"/>
      <w:ind w:left="340" w:hanging="340"/>
      <w:jc w:val="both"/>
    </w:pPr>
    <w:rPr>
      <w:rFonts w:ascii="Verdana" w:eastAsia="Times New Roman" w:hAnsi="Verdana" w:cs="Times New Roman"/>
      <w:kern w:val="0"/>
      <w:sz w:val="16"/>
      <w:szCs w:val="20"/>
      <w:lang w:val="en-GB"/>
      <w14:ligatures w14:val="none"/>
    </w:rPr>
  </w:style>
  <w:style w:type="character" w:styleId="FootnoteReference">
    <w:name w:val="footnote reference"/>
    <w:semiHidden/>
    <w:rsid w:val="00C845CA"/>
    <w:rPr>
      <w:vertAlign w:val="superscript"/>
    </w:rPr>
  </w:style>
  <w:style w:type="paragraph" w:styleId="Revision">
    <w:name w:val="Revision"/>
    <w:hidden/>
    <w:uiPriority w:val="99"/>
    <w:semiHidden/>
    <w:rsid w:val="003C40F0"/>
    <w:pPr>
      <w:spacing w:after="0" w:line="240" w:lineRule="auto"/>
    </w:pPr>
  </w:style>
  <w:style w:type="table" w:styleId="TableGrid">
    <w:name w:val="Table Grid"/>
    <w:basedOn w:val="TableNormal"/>
    <w:uiPriority w:val="39"/>
    <w:rsid w:val="00EF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1518</Characters>
  <Application>Microsoft Office Word</Application>
  <DocSecurity>0</DocSecurity>
  <Lines>27</Lines>
  <Paragraphs>14</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9</cp:revision>
  <dcterms:created xsi:type="dcterms:W3CDTF">2024-07-17T14:47:00Z</dcterms:created>
  <dcterms:modified xsi:type="dcterms:W3CDTF">2025-12-08T15:02:00Z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2024-07-17T14:48:07Z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ed5bbb5b-4fb0-46f3-ac05-8d323edc1a33</vt:lpwstr>
  </property>
  <property fmtid="{D5CDD505-2E9C-101B-9397-08002B2CF9AE}" pid="8" name="MSIP_Label_ce93fc94-2a04-4870-acee-9c0cd4b7d590_ContentBits">
    <vt:lpwstr>0</vt:lpwstr>
  </property>
</Properties>
</file>